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4E12F1DF" w:rsidR="00672659" w:rsidRPr="000D5244" w:rsidRDefault="00672659" w:rsidP="00DE0734">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4834F1">
              <w:rPr>
                <w:rFonts w:ascii="Simplified Arabic" w:hAnsi="Simplified Arabic" w:cs="Simplified Arabic"/>
                <w:b/>
                <w:bCs/>
                <w:color w:val="000000"/>
                <w:sz w:val="24"/>
                <w:szCs w:val="24"/>
                <w:highlight w:val="yellow"/>
                <w:lang w:bidi="ar-LB"/>
              </w:rPr>
              <w:t xml:space="preserve">MED/  </w:t>
            </w:r>
            <w:r w:rsidR="00DE0734">
              <w:rPr>
                <w:rFonts w:ascii="Simplified Arabic" w:hAnsi="Simplified Arabic" w:cs="Simplified Arabic"/>
                <w:b/>
                <w:bCs/>
                <w:color w:val="000000"/>
                <w:sz w:val="24"/>
                <w:szCs w:val="24"/>
                <w:highlight w:val="yellow"/>
                <w:lang w:bidi="ar-LB"/>
              </w:rPr>
              <w:t>4</w:t>
            </w:r>
            <w:r w:rsidRPr="004834F1">
              <w:rPr>
                <w:rFonts w:ascii="Simplified Arabic" w:hAnsi="Simplified Arabic" w:cs="Simplified Arabic"/>
                <w:b/>
                <w:bCs/>
                <w:color w:val="000000"/>
                <w:sz w:val="24"/>
                <w:szCs w:val="24"/>
                <w:highlight w:val="yellow"/>
                <w:lang w:bidi="ar-LB"/>
              </w:rPr>
              <w:t xml:space="preserve"> /</w:t>
            </w:r>
            <w:r w:rsidR="00A5237E" w:rsidRPr="004834F1">
              <w:rPr>
                <w:rFonts w:ascii="Simplified Arabic" w:hAnsi="Simplified Arabic" w:cs="Simplified Arabic"/>
                <w:b/>
                <w:bCs/>
                <w:color w:val="000000"/>
                <w:sz w:val="24"/>
                <w:szCs w:val="24"/>
                <w:highlight w:val="yellow"/>
                <w:lang w:bidi="ar-LB"/>
              </w:rPr>
              <w:t xml:space="preserve"> </w:t>
            </w:r>
            <w:r w:rsidRPr="004834F1">
              <w:rPr>
                <w:b/>
                <w:bCs/>
                <w:sz w:val="24"/>
                <w:szCs w:val="24"/>
                <w:highlight w:val="yellow"/>
              </w:rPr>
              <w:t xml:space="preserve"> </w:t>
            </w:r>
            <w:r w:rsidR="000D5244" w:rsidRPr="004834F1">
              <w:rPr>
                <w:b/>
                <w:bCs/>
                <w:sz w:val="24"/>
                <w:szCs w:val="24"/>
                <w:highlight w:val="yellow"/>
              </w:rPr>
              <w:t>2022</w:t>
            </w:r>
            <w:r w:rsidR="00DE0734">
              <w:rPr>
                <w:b/>
                <w:bCs/>
                <w:sz w:val="24"/>
                <w:szCs w:val="24"/>
                <w:highlight w:val="yellow"/>
              </w:rPr>
              <w:t>Ac</w:t>
            </w:r>
            <w:r w:rsidRPr="004834F1">
              <w:rPr>
                <w:b/>
                <w:bCs/>
                <w:sz w:val="24"/>
                <w:szCs w:val="24"/>
                <w:highlight w:val="yellow"/>
              </w:rPr>
              <w:t xml:space="preserve"> </w:t>
            </w:r>
            <w:r w:rsidR="00435A83">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6EDDE104" w:rsidR="00672659" w:rsidRPr="008D12BA" w:rsidRDefault="00672659" w:rsidP="00DE073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w:t>
            </w:r>
            <w:r w:rsidRPr="004834F1">
              <w:rPr>
                <w:rFonts w:ascii="Arial" w:hAnsi="Arial"/>
                <w:sz w:val="24"/>
                <w:szCs w:val="24"/>
              </w:rPr>
              <w:t>y)…</w:t>
            </w:r>
            <w:r w:rsidRPr="004834F1">
              <w:rPr>
                <w:rFonts w:ascii="Arial" w:hAnsi="Arial"/>
                <w:sz w:val="24"/>
                <w:szCs w:val="24"/>
                <w:highlight w:val="yellow"/>
              </w:rPr>
              <w:t xml:space="preserve">   </w:t>
            </w:r>
            <w:r w:rsidR="00DE0734">
              <w:rPr>
                <w:rFonts w:ascii="Arial" w:hAnsi="Arial"/>
                <w:sz w:val="24"/>
                <w:szCs w:val="24"/>
                <w:highlight w:val="yellow"/>
              </w:rPr>
              <w:t>8</w:t>
            </w:r>
            <w:r w:rsidRPr="004834F1">
              <w:rPr>
                <w:rFonts w:ascii="Arial" w:hAnsi="Arial"/>
                <w:sz w:val="24"/>
                <w:szCs w:val="24"/>
                <w:highlight w:val="yellow"/>
              </w:rPr>
              <w:t xml:space="preserve"> /</w:t>
            </w:r>
            <w:r w:rsidR="008C600C" w:rsidRPr="004834F1">
              <w:rPr>
                <w:rFonts w:ascii="Arial" w:hAnsi="Arial"/>
                <w:sz w:val="24"/>
                <w:szCs w:val="24"/>
                <w:highlight w:val="yellow"/>
              </w:rPr>
              <w:t xml:space="preserve"> </w:t>
            </w:r>
            <w:r w:rsidR="004834F1" w:rsidRPr="004834F1">
              <w:rPr>
                <w:rFonts w:ascii="Arial" w:hAnsi="Arial"/>
                <w:sz w:val="24"/>
                <w:szCs w:val="24"/>
                <w:highlight w:val="yellow"/>
              </w:rPr>
              <w:t>9</w:t>
            </w:r>
            <w:r w:rsidRPr="004834F1">
              <w:rPr>
                <w:rFonts w:ascii="Arial" w:hAnsi="Arial"/>
                <w:sz w:val="24"/>
                <w:szCs w:val="24"/>
                <w:highlight w:val="yellow"/>
              </w:rPr>
              <w:t xml:space="preserve">   /</w:t>
            </w:r>
            <w:r w:rsidR="00A5237E" w:rsidRPr="004834F1">
              <w:rPr>
                <w:rFonts w:ascii="Arial" w:hAnsi="Arial"/>
                <w:sz w:val="24"/>
                <w:szCs w:val="24"/>
                <w:highlight w:val="yellow"/>
              </w:rPr>
              <w:t xml:space="preserve"> </w:t>
            </w:r>
            <w:r w:rsidRPr="004834F1">
              <w:rPr>
                <w:rFonts w:ascii="Arial" w:hAnsi="Arial"/>
                <w:sz w:val="24"/>
                <w:szCs w:val="24"/>
                <w:highlight w:val="yellow"/>
              </w:rPr>
              <w:t>202</w:t>
            </w:r>
            <w:r w:rsidR="004D22E1" w:rsidRPr="004834F1">
              <w:rPr>
                <w:rFonts w:ascii="Arial" w:hAnsi="Arial"/>
                <w:sz w:val="24"/>
                <w:szCs w:val="24"/>
                <w:highlight w:val="yellow"/>
              </w:rPr>
              <w:t>2</w:t>
            </w:r>
            <w:r w:rsidRPr="004834F1">
              <w:rPr>
                <w:rFonts w:ascii="Arial" w:hAnsi="Arial"/>
                <w:sz w:val="24"/>
                <w:szCs w:val="24"/>
                <w:highlight w:val="yellow"/>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1F8DEB4B" w:rsidR="00672659" w:rsidRPr="008D12BA" w:rsidRDefault="00672659" w:rsidP="00DE073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DE0734">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DE0734">
              <w:rPr>
                <w:rFonts w:ascii="Arial" w:hAnsi="Arial"/>
                <w:spacing w:val="-2"/>
                <w:sz w:val="24"/>
                <w:szCs w:val="24"/>
                <w:highlight w:val="cyan"/>
              </w:rPr>
              <w:t>Ac</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3CF7B3C" w:rsidR="00672659" w:rsidRPr="008D12BA" w:rsidRDefault="00672659" w:rsidP="00DE0734">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DE0734">
              <w:rPr>
                <w:sz w:val="24"/>
                <w:szCs w:val="24"/>
              </w:rPr>
              <w:t>8</w:t>
            </w:r>
            <w:r w:rsidRPr="008D12BA">
              <w:rPr>
                <w:sz w:val="24"/>
                <w:szCs w:val="24"/>
              </w:rPr>
              <w:t xml:space="preserve"> </w:t>
            </w:r>
            <w:r w:rsidRPr="008D12BA">
              <w:rPr>
                <w:sz w:val="24"/>
                <w:szCs w:val="24"/>
                <w:highlight w:val="cyan"/>
              </w:rPr>
              <w:t xml:space="preserve">/ </w:t>
            </w:r>
            <w:r w:rsidR="004834F1">
              <w:rPr>
                <w:sz w:val="24"/>
                <w:szCs w:val="24"/>
                <w:highlight w:val="cyan"/>
              </w:rPr>
              <w:t>9</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00DE0734">
              <w:rPr>
                <w:sz w:val="24"/>
                <w:szCs w:val="24"/>
                <w:highlight w:val="cyan"/>
              </w:rPr>
              <w:t>15</w:t>
            </w:r>
            <w:r w:rsidRPr="008D12BA">
              <w:rPr>
                <w:sz w:val="24"/>
                <w:szCs w:val="24"/>
                <w:highlight w:val="cyan"/>
              </w:rPr>
              <w:t xml:space="preserve">   /     </w:t>
            </w:r>
            <w:r w:rsidR="004834F1">
              <w:rPr>
                <w:sz w:val="24"/>
                <w:szCs w:val="24"/>
                <w:highlight w:val="cyan"/>
              </w:rPr>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562FF57C" w:rsidR="00672659" w:rsidRPr="008D12BA" w:rsidRDefault="00672659" w:rsidP="00DE073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DE0734">
              <w:rPr>
                <w:rFonts w:ascii="Arial" w:hAnsi="Arial"/>
                <w:sz w:val="24"/>
                <w:szCs w:val="24"/>
                <w:highlight w:val="cyan"/>
              </w:rPr>
              <w:t>22</w:t>
            </w:r>
            <w:r w:rsidRPr="008D12BA">
              <w:rPr>
                <w:rFonts w:ascii="Arial" w:hAnsi="Arial"/>
                <w:sz w:val="24"/>
                <w:szCs w:val="24"/>
                <w:highlight w:val="cyan"/>
              </w:rPr>
              <w:t xml:space="preserve"> / </w:t>
            </w:r>
            <w:r w:rsidR="007F448C">
              <w:rPr>
                <w:rFonts w:ascii="Arial" w:hAnsi="Arial"/>
                <w:sz w:val="24"/>
                <w:szCs w:val="24"/>
                <w:highlight w:val="cyan"/>
              </w:rPr>
              <w:t>9</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09B70207" w:rsidR="00704953" w:rsidRPr="00120DE8" w:rsidRDefault="00704953" w:rsidP="00DE073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E0734">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DE0734">
              <w:rPr>
                <w:rFonts w:ascii="Arial" w:eastAsia="Times New Roman" w:hAnsi="Arial"/>
                <w:b/>
                <w:bCs/>
                <w:sz w:val="24"/>
                <w:szCs w:val="24"/>
                <w:u w:val="single"/>
              </w:rPr>
              <w:t>Ac</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national_c</w:t>
            </w:r>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314202" w:rsidRPr="00844D38" w14:paraId="73E48362" w14:textId="77777777" w:rsidTr="00FD0D3D">
        <w:trPr>
          <w:trHeight w:val="900"/>
        </w:trPr>
        <w:tc>
          <w:tcPr>
            <w:tcW w:w="638" w:type="dxa"/>
            <w:vAlign w:val="center"/>
          </w:tcPr>
          <w:p w14:paraId="3AFB377F" w14:textId="20BB8D0A" w:rsidR="00314202" w:rsidRPr="00844D38" w:rsidRDefault="00314202"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561E89A1" w:rsidR="00314202" w:rsidRPr="00844D38" w:rsidRDefault="00314202" w:rsidP="00DB569E">
            <w:pPr>
              <w:jc w:val="center"/>
              <w:rPr>
                <w:rFonts w:eastAsia="Times New Roman" w:cs="Calibri"/>
                <w:b/>
                <w:bCs/>
                <w:color w:val="000000"/>
              </w:rPr>
            </w:pPr>
            <w:r>
              <w:rPr>
                <w:rFonts w:ascii="Arial" w:hAnsi="Arial" w:cs="Arial"/>
                <w:color w:val="000000"/>
              </w:rPr>
              <w:t>11-C00-010</w:t>
            </w:r>
          </w:p>
        </w:tc>
        <w:tc>
          <w:tcPr>
            <w:tcW w:w="2924" w:type="dxa"/>
          </w:tcPr>
          <w:p w14:paraId="022B674E" w14:textId="6C92CCE3" w:rsidR="00314202" w:rsidRPr="00844D38" w:rsidRDefault="00314202" w:rsidP="00DB569E">
            <w:pPr>
              <w:jc w:val="center"/>
              <w:rPr>
                <w:rFonts w:eastAsia="Times New Roman" w:cs="Calibri"/>
                <w:b/>
                <w:bCs/>
                <w:color w:val="000000"/>
              </w:rPr>
            </w:pPr>
            <w:r>
              <w:rPr>
                <w:rFonts w:ascii="Arial" w:hAnsi="Arial" w:cs="Arial"/>
                <w:color w:val="000000"/>
              </w:rPr>
              <w:t>Tropicamide 1% Eye Drop</w:t>
            </w:r>
          </w:p>
        </w:tc>
        <w:tc>
          <w:tcPr>
            <w:tcW w:w="1295" w:type="dxa"/>
            <w:vAlign w:val="center"/>
          </w:tcPr>
          <w:p w14:paraId="5626D002" w14:textId="56CB13C7" w:rsidR="00314202" w:rsidRPr="00844D38" w:rsidRDefault="00314202" w:rsidP="00DB569E">
            <w:pPr>
              <w:jc w:val="center"/>
              <w:rPr>
                <w:rFonts w:eastAsia="Times New Roman" w:cs="Calibri"/>
                <w:b/>
                <w:bCs/>
                <w:color w:val="000000"/>
              </w:rPr>
            </w:pPr>
            <w:r>
              <w:rPr>
                <w:color w:val="000000"/>
              </w:rPr>
              <w:t>18755</w:t>
            </w:r>
          </w:p>
        </w:tc>
        <w:tc>
          <w:tcPr>
            <w:tcW w:w="1864" w:type="dxa"/>
            <w:vAlign w:val="center"/>
          </w:tcPr>
          <w:p w14:paraId="2A06D12B" w14:textId="47C2A81D" w:rsidR="00314202" w:rsidRPr="00844D38" w:rsidRDefault="00314202" w:rsidP="00DB569E">
            <w:pPr>
              <w:jc w:val="center"/>
              <w:rPr>
                <w:rFonts w:eastAsia="Times New Roman" w:cs="Calibri"/>
                <w:b/>
                <w:bCs/>
                <w:color w:val="000000"/>
              </w:rPr>
            </w:pPr>
            <w:r>
              <w:rPr>
                <w:rFonts w:ascii="Arial" w:hAnsi="Arial" w:cs="Arial"/>
                <w:color w:val="000000"/>
              </w:rPr>
              <w:t>10ml(bot)</w:t>
            </w:r>
          </w:p>
        </w:tc>
        <w:tc>
          <w:tcPr>
            <w:tcW w:w="1046" w:type="dxa"/>
            <w:vAlign w:val="center"/>
          </w:tcPr>
          <w:p w14:paraId="62933370" w14:textId="11B82CD1" w:rsidR="00314202" w:rsidRPr="00844D38" w:rsidRDefault="00314202" w:rsidP="00DB569E">
            <w:pPr>
              <w:jc w:val="center"/>
              <w:rPr>
                <w:rFonts w:eastAsia="Times New Roman" w:cs="Calibri"/>
                <w:b/>
                <w:bCs/>
                <w:color w:val="000000"/>
              </w:rPr>
            </w:pPr>
            <w:r>
              <w:rPr>
                <w:rFonts w:ascii="Arial" w:hAnsi="Arial" w:cs="Arial"/>
                <w:color w:val="000000"/>
              </w:rPr>
              <w:t>2.77</w:t>
            </w:r>
          </w:p>
        </w:tc>
        <w:tc>
          <w:tcPr>
            <w:tcW w:w="1161" w:type="dxa"/>
            <w:vAlign w:val="center"/>
          </w:tcPr>
          <w:p w14:paraId="44294134" w14:textId="619BFDF4" w:rsidR="00314202" w:rsidRPr="00844D38" w:rsidRDefault="00314202" w:rsidP="00DB569E">
            <w:pPr>
              <w:jc w:val="center"/>
              <w:rPr>
                <w:rFonts w:eastAsia="Times New Roman" w:cs="Calibri"/>
                <w:b/>
                <w:bCs/>
                <w:color w:val="000000"/>
              </w:rPr>
            </w:pPr>
            <w:r>
              <w:rPr>
                <w:rFonts w:ascii="Arial" w:hAnsi="Arial" w:cs="Arial"/>
                <w:color w:val="000000"/>
              </w:rPr>
              <w:t>1.94</w:t>
            </w:r>
          </w:p>
        </w:tc>
        <w:tc>
          <w:tcPr>
            <w:tcW w:w="1150" w:type="dxa"/>
            <w:vAlign w:val="center"/>
          </w:tcPr>
          <w:p w14:paraId="7DB748D8" w14:textId="386A640A" w:rsidR="00314202" w:rsidRPr="00844D38" w:rsidRDefault="00314202" w:rsidP="00DB569E">
            <w:pPr>
              <w:jc w:val="center"/>
              <w:rPr>
                <w:rFonts w:eastAsia="Times New Roman" w:cs="Calibri"/>
                <w:b/>
                <w:bCs/>
                <w:color w:val="000000"/>
              </w:rPr>
            </w:pPr>
            <w:r>
              <w:rPr>
                <w:rFonts w:ascii="Arial" w:hAnsi="Arial" w:cs="Arial"/>
                <w:color w:val="000000"/>
              </w:rPr>
              <w:t>1.24</w:t>
            </w:r>
          </w:p>
        </w:tc>
        <w:tc>
          <w:tcPr>
            <w:tcW w:w="1072" w:type="dxa"/>
            <w:gridSpan w:val="2"/>
            <w:vAlign w:val="center"/>
          </w:tcPr>
          <w:p w14:paraId="7B728851" w14:textId="648CAAC6" w:rsidR="00314202" w:rsidRPr="00844D38" w:rsidRDefault="00314202" w:rsidP="00DB569E">
            <w:pPr>
              <w:jc w:val="center"/>
              <w:rPr>
                <w:rFonts w:eastAsia="Times New Roman" w:cs="Calibri"/>
                <w:b/>
                <w:bCs/>
                <w:color w:val="000000"/>
              </w:rPr>
            </w:pPr>
            <w:r>
              <w:rPr>
                <w:rFonts w:ascii="Arial" w:hAnsi="Arial" w:cs="Arial"/>
                <w:color w:val="000000"/>
              </w:rPr>
              <w:t>0.7</w:t>
            </w:r>
          </w:p>
        </w:tc>
      </w:tr>
    </w:tbl>
    <w:p w14:paraId="7DF6DC26" w14:textId="77777777" w:rsidR="004F2D77" w:rsidRDefault="004F2D77"/>
    <w:p w14:paraId="30FC7761" w14:textId="77777777" w:rsidR="006D2E97" w:rsidRDefault="006D2E97"/>
    <w:p w14:paraId="607C86D9" w14:textId="77777777" w:rsidR="006D2E97" w:rsidRDefault="006D2E97"/>
    <w:p w14:paraId="244E1F08" w14:textId="77777777" w:rsidR="006D2E97" w:rsidRDefault="006D2E97">
      <w:bookmarkStart w:id="0" w:name="_GoBack"/>
    </w:p>
    <w:bookmarkEnd w:id="0"/>
    <w:p w14:paraId="64093478" w14:textId="77777777" w:rsidR="006D2E97" w:rsidRDefault="006D2E97"/>
    <w:p w14:paraId="3256BACF" w14:textId="77777777" w:rsidR="006D2E97" w:rsidRDefault="006D2E97"/>
    <w:p w14:paraId="4242ED9B" w14:textId="77777777" w:rsidR="00435A83" w:rsidRDefault="00435A83"/>
    <w:p w14:paraId="1CA23983" w14:textId="77777777" w:rsidR="00435A83" w:rsidRDefault="00435A83"/>
    <w:p w14:paraId="16852724" w14:textId="77777777" w:rsidR="00435A83" w:rsidRDefault="00435A83"/>
    <w:p w14:paraId="0D3B4DAC" w14:textId="77777777" w:rsidR="00435A83" w:rsidRDefault="00435A83"/>
    <w:p w14:paraId="371F7ECD" w14:textId="77777777" w:rsidR="00435A83" w:rsidRDefault="00435A83"/>
    <w:p w14:paraId="4E50449B" w14:textId="77777777" w:rsidR="00435A83" w:rsidRDefault="00435A83"/>
    <w:p w14:paraId="7864C8BE" w14:textId="77777777" w:rsidR="00435A83" w:rsidRDefault="00435A83"/>
    <w:p w14:paraId="7C0933CD" w14:textId="77777777" w:rsidR="006D2E97" w:rsidRDefault="006D2E97"/>
    <w:p w14:paraId="444975AF" w14:textId="77777777" w:rsidR="006D2E97" w:rsidRDefault="006D2E9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The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4A00777" w:rsidR="00672659" w:rsidRPr="004D22E1" w:rsidRDefault="00672659" w:rsidP="00DE073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834F1">
              <w:rPr>
                <w:rFonts w:ascii="Arial" w:hAnsi="Arial"/>
                <w:b/>
                <w:spacing w:val="-2"/>
                <w:sz w:val="24"/>
                <w:szCs w:val="24"/>
                <w:highlight w:val="yellow"/>
              </w:rPr>
              <w:t xml:space="preserve">Med/ </w:t>
            </w:r>
            <w:r w:rsidR="00DE0734">
              <w:rPr>
                <w:rFonts w:ascii="Arial" w:hAnsi="Arial"/>
                <w:b/>
                <w:spacing w:val="-2"/>
                <w:sz w:val="24"/>
                <w:szCs w:val="24"/>
                <w:highlight w:val="yellow"/>
              </w:rPr>
              <w:t>4</w:t>
            </w:r>
            <w:r w:rsidRPr="004834F1">
              <w:rPr>
                <w:rFonts w:ascii="Arial" w:hAnsi="Arial"/>
                <w:b/>
                <w:spacing w:val="-2"/>
                <w:sz w:val="24"/>
                <w:szCs w:val="24"/>
                <w:highlight w:val="yellow"/>
              </w:rPr>
              <w:t xml:space="preserve"> /</w:t>
            </w:r>
            <w:r w:rsidR="00C13A9D" w:rsidRPr="004834F1">
              <w:rPr>
                <w:rFonts w:ascii="Arial" w:hAnsi="Arial"/>
                <w:b/>
                <w:spacing w:val="-2"/>
                <w:sz w:val="24"/>
                <w:szCs w:val="24"/>
                <w:highlight w:val="yellow"/>
              </w:rPr>
              <w:t xml:space="preserve"> </w:t>
            </w:r>
            <w:r w:rsidRPr="004834F1">
              <w:rPr>
                <w:rFonts w:ascii="Arial" w:hAnsi="Arial"/>
                <w:b/>
                <w:spacing w:val="-2"/>
                <w:sz w:val="24"/>
                <w:szCs w:val="24"/>
                <w:highlight w:val="yellow"/>
              </w:rPr>
              <w:t>202</w:t>
            </w:r>
            <w:r w:rsidR="00C13A9D" w:rsidRPr="004834F1">
              <w:rPr>
                <w:rFonts w:ascii="Arial" w:hAnsi="Arial"/>
                <w:b/>
                <w:spacing w:val="-2"/>
                <w:sz w:val="24"/>
                <w:szCs w:val="24"/>
                <w:highlight w:val="yellow"/>
              </w:rPr>
              <w:t>2</w:t>
            </w:r>
            <w:r w:rsidR="00DE0734">
              <w:rPr>
                <w:rFonts w:ascii="Arial" w:hAnsi="Arial"/>
                <w:bCs/>
                <w:spacing w:val="-2"/>
                <w:sz w:val="24"/>
                <w:szCs w:val="24"/>
                <w:highlight w:val="yellow"/>
              </w:rPr>
              <w:t>Ac</w:t>
            </w:r>
            <w:r w:rsidRPr="004834F1">
              <w:rPr>
                <w:rFonts w:ascii="Arial" w:hAnsi="Arial"/>
                <w:bCs/>
                <w:spacing w:val="-2"/>
                <w:sz w:val="24"/>
                <w:szCs w:val="24"/>
                <w:highlight w:val="yellow"/>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6CC8120" w:rsidR="00672659" w:rsidRPr="004D22E1" w:rsidRDefault="00672659" w:rsidP="00DE073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w:t>
            </w:r>
            <w:r w:rsidR="004834F1">
              <w:rPr>
                <w:rFonts w:ascii="Arial" w:hAnsi="Arial"/>
                <w:bCs/>
                <w:spacing w:val="-2"/>
                <w:sz w:val="24"/>
                <w:szCs w:val="24"/>
                <w:u w:val="single"/>
              </w:rPr>
              <w:t xml:space="preserve"> </w:t>
            </w:r>
            <w:r w:rsidR="004834F1">
              <w:rPr>
                <w:rFonts w:ascii="Arial" w:hAnsi="Arial"/>
                <w:b/>
                <w:spacing w:val="-2"/>
                <w:sz w:val="24"/>
                <w:szCs w:val="24"/>
                <w:highlight w:val="yellow"/>
              </w:rPr>
              <w:t xml:space="preserve"> : </w:t>
            </w:r>
            <w:r w:rsidR="00DE0734">
              <w:rPr>
                <w:rFonts w:ascii="Arial" w:hAnsi="Arial"/>
                <w:bCs/>
                <w:spacing w:val="-2"/>
                <w:sz w:val="24"/>
                <w:szCs w:val="24"/>
              </w:rPr>
              <w:t>4Ac</w:t>
            </w:r>
          </w:p>
          <w:p w14:paraId="6FE8AA3D" w14:textId="16501F4E"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834F1">
              <w:rPr>
                <w:rFonts w:ascii="Arial" w:hAnsi="Arial"/>
                <w:b/>
                <w:sz w:val="24"/>
                <w:szCs w:val="24"/>
                <w:highlight w:val="yellow"/>
                <w:lang w:val="en-GB"/>
              </w:rPr>
              <w:t>20</w:t>
            </w:r>
            <w:r w:rsidRPr="004834F1">
              <w:rPr>
                <w:rFonts w:ascii="Arial" w:hAnsi="Arial"/>
                <w:b/>
                <w:sz w:val="24"/>
                <w:szCs w:val="24"/>
                <w:highlight w:val="yellow"/>
              </w:rPr>
              <w:t>2</w:t>
            </w:r>
            <w:r w:rsidR="00C13A9D" w:rsidRPr="004834F1">
              <w:rPr>
                <w:rFonts w:ascii="Arial" w:hAnsi="Arial"/>
                <w:b/>
                <w:sz w:val="24"/>
                <w:szCs w:val="24"/>
                <w:highlight w:val="yellow"/>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5299F382" w:rsidR="00672659" w:rsidRPr="004D22E1" w:rsidRDefault="00672659" w:rsidP="00DE073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DE0734">
              <w:rPr>
                <w:rFonts w:ascii="Arial" w:hAnsi="Arial"/>
                <w:b/>
                <w:sz w:val="24"/>
                <w:szCs w:val="24"/>
                <w:highlight w:val="yellow"/>
                <w:lang w:val="en-GB"/>
              </w:rPr>
              <w:t>15</w:t>
            </w:r>
            <w:r w:rsidRPr="004D22E1">
              <w:rPr>
                <w:rFonts w:ascii="Arial" w:hAnsi="Arial"/>
                <w:b/>
                <w:sz w:val="24"/>
                <w:szCs w:val="24"/>
                <w:highlight w:val="yellow"/>
                <w:lang w:val="en-GB"/>
              </w:rPr>
              <w:t xml:space="preserve">/  </w:t>
            </w:r>
            <w:r w:rsidR="004834F1">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77676879" w:rsidR="00672659" w:rsidRPr="004D22E1" w:rsidRDefault="00672659" w:rsidP="00DE073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834F1">
              <w:rPr>
                <w:rFonts w:ascii="Arial Narrow" w:eastAsia="Calibri" w:hAnsi="Arial Narrow" w:cs="Arial"/>
                <w:sz w:val="24"/>
                <w:szCs w:val="24"/>
              </w:rPr>
              <w:t xml:space="preserve">after  </w:t>
            </w:r>
            <w:r w:rsidR="00DE0734">
              <w:rPr>
                <w:rFonts w:ascii="Arial Narrow" w:eastAsia="Calibri" w:hAnsi="Arial Narrow" w:cs="Arial"/>
                <w:sz w:val="24"/>
                <w:szCs w:val="24"/>
                <w:highlight w:val="yellow"/>
              </w:rPr>
              <w:t>22</w:t>
            </w:r>
            <w:r w:rsidRPr="004834F1">
              <w:rPr>
                <w:rFonts w:ascii="Arial Narrow" w:eastAsia="Calibri" w:hAnsi="Arial Narrow" w:cs="Arial"/>
                <w:sz w:val="24"/>
                <w:szCs w:val="24"/>
                <w:highlight w:val="yellow"/>
              </w:rPr>
              <w:t xml:space="preserve"> /  </w:t>
            </w:r>
            <w:r w:rsidR="007F448C" w:rsidRPr="004834F1">
              <w:rPr>
                <w:rFonts w:ascii="Arial Narrow" w:eastAsia="Calibri" w:hAnsi="Arial Narrow" w:cs="Arial"/>
                <w:sz w:val="24"/>
                <w:szCs w:val="24"/>
                <w:highlight w:val="yellow"/>
              </w:rPr>
              <w:t>9</w:t>
            </w:r>
            <w:r w:rsidRPr="004834F1">
              <w:rPr>
                <w:rFonts w:ascii="Arial Narrow" w:eastAsia="Calibri" w:hAnsi="Arial Narrow" w:cs="Arial"/>
                <w:sz w:val="24"/>
                <w:szCs w:val="24"/>
                <w:highlight w:val="yellow"/>
              </w:rPr>
              <w:t xml:space="preserve"> /   202</w:t>
            </w:r>
            <w:r w:rsidR="00A5237E" w:rsidRPr="004834F1">
              <w:rPr>
                <w:rFonts w:ascii="Arial Narrow" w:eastAsia="Calibri" w:hAnsi="Arial Narrow" w:cs="Arial"/>
                <w:sz w:val="24"/>
                <w:szCs w:val="24"/>
                <w:highlight w:val="yellow"/>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DA8D1CC" w:rsidR="00672659" w:rsidRPr="004D22E1" w:rsidRDefault="00672659" w:rsidP="00DE0734">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4834F1">
              <w:rPr>
                <w:rFonts w:ascii="Arial Narrow" w:eastAsia="Calibri" w:hAnsi="Arial Narrow" w:cs="Arial"/>
                <w:sz w:val="24"/>
                <w:szCs w:val="24"/>
              </w:rPr>
              <w:t xml:space="preserve"> </w:t>
            </w:r>
            <w:r w:rsidR="00DE0734">
              <w:rPr>
                <w:rFonts w:ascii="Arial Narrow" w:eastAsia="Calibri" w:hAnsi="Arial Narrow" w:cs="Arial"/>
                <w:sz w:val="24"/>
                <w:szCs w:val="24"/>
                <w:highlight w:val="yellow"/>
              </w:rPr>
              <w:t>20</w:t>
            </w:r>
            <w:r w:rsidR="008C600C" w:rsidRPr="004834F1">
              <w:rPr>
                <w:rFonts w:ascii="Arial Narrow" w:eastAsia="Calibri" w:hAnsi="Arial Narrow" w:cs="Arial"/>
                <w:sz w:val="24"/>
                <w:szCs w:val="24"/>
                <w:highlight w:val="yellow"/>
              </w:rPr>
              <w:t xml:space="preserve"> </w:t>
            </w:r>
            <w:r w:rsidRPr="004834F1">
              <w:rPr>
                <w:rFonts w:ascii="Arial Narrow" w:eastAsia="Calibri" w:hAnsi="Arial Narrow" w:cs="Arial"/>
                <w:sz w:val="24"/>
                <w:szCs w:val="24"/>
                <w:highlight w:val="yellow"/>
              </w:rPr>
              <w:t xml:space="preserve">/ </w:t>
            </w:r>
            <w:r w:rsidR="007F448C" w:rsidRPr="004834F1">
              <w:rPr>
                <w:rFonts w:ascii="Arial Narrow" w:eastAsia="Calibri" w:hAnsi="Arial Narrow" w:cs="Arial"/>
                <w:sz w:val="24"/>
                <w:szCs w:val="24"/>
                <w:highlight w:val="yellow"/>
              </w:rPr>
              <w:t>10</w:t>
            </w:r>
            <w:r w:rsidRPr="004834F1">
              <w:rPr>
                <w:rFonts w:ascii="Arial Narrow" w:eastAsia="Calibri" w:hAnsi="Arial Narrow" w:cs="Arial"/>
                <w:sz w:val="24"/>
                <w:szCs w:val="24"/>
                <w:highlight w:val="yellow"/>
              </w:rPr>
              <w:t xml:space="preserve">  /  202</w:t>
            </w:r>
            <w:r w:rsidR="00A5237E" w:rsidRPr="004834F1">
              <w:rPr>
                <w:rFonts w:ascii="Arial Narrow" w:eastAsia="Calibri" w:hAnsi="Arial Narrow" w:cs="Arial"/>
                <w:sz w:val="24"/>
                <w:szCs w:val="24"/>
                <w:highlight w:val="yellow"/>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0606027" w:rsidR="00672659" w:rsidRPr="004D22E1" w:rsidRDefault="00672659" w:rsidP="00DE073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DE0734">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4834F1">
              <w:rPr>
                <w:rFonts w:ascii="Arial" w:hAnsi="Arial"/>
                <w:b/>
                <w:spacing w:val="-2"/>
                <w:sz w:val="24"/>
                <w:szCs w:val="24"/>
                <w:highlight w:val="yellow"/>
              </w:rPr>
              <w:t>2</w:t>
            </w:r>
            <w:r w:rsidR="00DE0734">
              <w:rPr>
                <w:rFonts w:ascii="Arial" w:hAnsi="Arial"/>
                <w:bCs/>
                <w:spacing w:val="-2"/>
                <w:sz w:val="24"/>
                <w:szCs w:val="24"/>
              </w:rPr>
              <w:t>Ac</w:t>
            </w:r>
          </w:p>
          <w:p w14:paraId="0E828F6C" w14:textId="4F05BF7D" w:rsidR="00672659" w:rsidRPr="00DE0734" w:rsidRDefault="00672659" w:rsidP="00DE0734">
            <w:pPr>
              <w:ind w:left="175"/>
              <w:rPr>
                <w:rFonts w:ascii="Arial" w:hAnsi="Arial"/>
                <w:sz w:val="24"/>
                <w:szCs w:val="24"/>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4834F1">
              <w:rPr>
                <w:rFonts w:ascii="Arial" w:hAnsi="Arial"/>
                <w:bCs/>
                <w:spacing w:val="-2"/>
                <w:sz w:val="24"/>
                <w:szCs w:val="24"/>
                <w:highlight w:val="yellow"/>
                <w:u w:val="single"/>
              </w:rPr>
              <w:t>:</w:t>
            </w:r>
            <w:r w:rsidRPr="008C600C">
              <w:rPr>
                <w:rFonts w:ascii="Arial" w:hAnsi="Arial"/>
                <w:b/>
                <w:spacing w:val="-2"/>
                <w:sz w:val="24"/>
                <w:szCs w:val="24"/>
                <w:highlight w:val="yellow"/>
                <w:u w:val="single"/>
              </w:rPr>
              <w:t xml:space="preserve"> </w:t>
            </w:r>
            <w:r w:rsidR="00DE0734">
              <w:rPr>
                <w:rFonts w:ascii="Arial" w:hAnsi="Arial"/>
                <w:sz w:val="24"/>
                <w:szCs w:val="24"/>
              </w:rPr>
              <w:t>4Ac</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31A68328" w:rsidR="00672659" w:rsidRPr="004D22E1" w:rsidRDefault="00672659" w:rsidP="00DE0734">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4834F1">
              <w:rPr>
                <w:rFonts w:ascii="Arial" w:hAnsi="Arial"/>
                <w:sz w:val="24"/>
                <w:szCs w:val="24"/>
                <w:lang w:val="en-GB"/>
              </w:rPr>
              <w:t>on</w:t>
            </w:r>
            <w:r w:rsidRPr="008C600C">
              <w:rPr>
                <w:rFonts w:ascii="Arial" w:hAnsi="Arial"/>
                <w:sz w:val="24"/>
                <w:szCs w:val="24"/>
                <w:highlight w:val="yellow"/>
                <w:lang w:val="en-GB"/>
              </w:rPr>
              <w:t xml:space="preserve"> </w:t>
            </w:r>
            <w:r w:rsidR="00DE0734">
              <w:rPr>
                <w:rFonts w:ascii="Arial" w:hAnsi="Arial"/>
                <w:sz w:val="24"/>
                <w:szCs w:val="24"/>
                <w:highlight w:val="yellow"/>
                <w:lang w:val="en-GB"/>
              </w:rPr>
              <w:t>22</w:t>
            </w:r>
            <w:r w:rsidRPr="008C600C">
              <w:rPr>
                <w:rFonts w:ascii="Arial" w:hAnsi="Arial"/>
                <w:sz w:val="24"/>
                <w:szCs w:val="24"/>
                <w:highlight w:val="yellow"/>
                <w:lang w:val="en-GB"/>
              </w:rPr>
              <w:t xml:space="preserve"> / </w:t>
            </w:r>
            <w:r w:rsidR="007F448C">
              <w:rPr>
                <w:rFonts w:ascii="Arial" w:hAnsi="Arial"/>
                <w:sz w:val="24"/>
                <w:szCs w:val="24"/>
                <w:highlight w:val="yellow"/>
                <w:lang w:val="en-GB"/>
              </w:rPr>
              <w:t>9</w:t>
            </w:r>
            <w:r w:rsidR="006D2E97">
              <w:rPr>
                <w:rFonts w:ascii="Arial" w:hAnsi="Arial"/>
                <w:sz w:val="24"/>
                <w:szCs w:val="24"/>
                <w:highlight w:val="yellow"/>
                <w:lang w:val="en-GB"/>
              </w:rPr>
              <w:t xml:space="preserve"> </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63CDC8D0" w:rsidR="00672659" w:rsidRPr="004D22E1" w:rsidRDefault="00672659" w:rsidP="00DE0734">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834F1">
              <w:rPr>
                <w:rFonts w:ascii="Arial" w:hAnsi="Arial"/>
                <w:bCs/>
                <w:sz w:val="24"/>
                <w:szCs w:val="24"/>
                <w:highlight w:val="yellow"/>
                <w:lang w:val="en-GB"/>
              </w:rPr>
              <w:t>2</w:t>
            </w:r>
            <w:r w:rsidR="00DE0734">
              <w:rPr>
                <w:rFonts w:ascii="Arial" w:hAnsi="Arial"/>
                <w:bCs/>
                <w:sz w:val="24"/>
                <w:szCs w:val="24"/>
                <w:highlight w:val="yellow"/>
                <w:lang w:val="en-GB"/>
              </w:rPr>
              <w:t>3</w:t>
            </w:r>
            <w:r w:rsidRPr="003E7B43">
              <w:rPr>
                <w:rFonts w:ascii="Arial" w:hAnsi="Arial"/>
                <w:bCs/>
                <w:sz w:val="24"/>
                <w:szCs w:val="24"/>
                <w:highlight w:val="yellow"/>
                <w:lang w:val="en-GB"/>
              </w:rPr>
              <w:t xml:space="preserve">  –   </w:t>
            </w:r>
            <w:r w:rsidR="007F448C">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contract materials or for implementing the projects through the companies of the Ministry of Industry and </w:t>
            </w:r>
            <w:r w:rsidRPr="004D22E1">
              <w:rPr>
                <w:rFonts w:ascii="Arial" w:hAnsi="Arial"/>
                <w:sz w:val="24"/>
                <w:szCs w:val="24"/>
                <w:lang w:val="en-GB"/>
              </w:rPr>
              <w:lastRenderedPageBreak/>
              <w:t>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lastRenderedPageBreak/>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lastRenderedPageBreak/>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 xml:space="preserve">(E) The bidder shall obtain a permit from the competent authority in the manufacturer’s country in accordance with Resolution No. WHA 28 </w:t>
            </w:r>
            <w:r w:rsidRPr="004D22E1">
              <w:rPr>
                <w:rFonts w:ascii="Arial Narrow" w:eastAsia="Calibri" w:hAnsi="Arial Narrow" w:cs="Arial"/>
                <w:sz w:val="24"/>
                <w:szCs w:val="24"/>
              </w:rPr>
              <w:lastRenderedPageBreak/>
              <w:t>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lastRenderedPageBreak/>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
        <w:gridCol w:w="564"/>
        <w:gridCol w:w="964"/>
        <w:gridCol w:w="525"/>
        <w:gridCol w:w="1061"/>
        <w:gridCol w:w="699"/>
        <w:gridCol w:w="364"/>
        <w:gridCol w:w="293"/>
        <w:gridCol w:w="654"/>
        <w:gridCol w:w="616"/>
        <w:gridCol w:w="533"/>
        <w:gridCol w:w="545"/>
        <w:gridCol w:w="592"/>
        <w:gridCol w:w="426"/>
        <w:gridCol w:w="378"/>
        <w:gridCol w:w="435"/>
        <w:gridCol w:w="457"/>
        <w:gridCol w:w="474"/>
        <w:gridCol w:w="378"/>
        <w:gridCol w:w="554"/>
        <w:gridCol w:w="612"/>
        <w:gridCol w:w="512"/>
        <w:gridCol w:w="490"/>
        <w:gridCol w:w="437"/>
        <w:gridCol w:w="504"/>
        <w:gridCol w:w="612"/>
      </w:tblGrid>
      <w:tr w:rsidR="00DE11BF" w:rsidRPr="00233B59" w14:paraId="6678F53F" w14:textId="77777777" w:rsidTr="00F0718D">
        <w:trPr>
          <w:trHeight w:val="1004"/>
        </w:trPr>
        <w:tc>
          <w:tcPr>
            <w:tcW w:w="329"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1"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3"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9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53"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F0718D">
        <w:tc>
          <w:tcPr>
            <w:tcW w:w="329"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0"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627"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4"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3"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9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3"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0718D" w:rsidRPr="00233B59" w14:paraId="44A2A021" w14:textId="77777777" w:rsidTr="00F0718D">
        <w:trPr>
          <w:trHeight w:val="1609"/>
        </w:trPr>
        <w:tc>
          <w:tcPr>
            <w:tcW w:w="129"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43"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7"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49"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0"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4"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3"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9"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0"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2"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5"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5"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3"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9"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5"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18"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82"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75"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6"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0718D" w:rsidRPr="00233B59" w14:paraId="370DF3F8" w14:textId="77777777" w:rsidTr="00F0718D">
        <w:tc>
          <w:tcPr>
            <w:tcW w:w="129" w:type="pct"/>
            <w:shd w:val="clear" w:color="auto" w:fill="auto"/>
          </w:tcPr>
          <w:p w14:paraId="2DE5E5FC" w14:textId="5CF3D648" w:rsidR="00F0718D" w:rsidRPr="00D14D22" w:rsidRDefault="00F0718D"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1" w:type="pct"/>
            <w:shd w:val="clear" w:color="auto" w:fill="auto"/>
            <w:vAlign w:val="center"/>
          </w:tcPr>
          <w:p w14:paraId="67B4BFC6"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3" w:type="pct"/>
            <w:shd w:val="clear" w:color="auto" w:fill="auto"/>
          </w:tcPr>
          <w:p w14:paraId="1C2DF6DC" w14:textId="77777777" w:rsidR="00F0718D" w:rsidRPr="00C6441A" w:rsidRDefault="00F0718D" w:rsidP="00073752"/>
        </w:tc>
        <w:tc>
          <w:tcPr>
            <w:tcW w:w="187" w:type="pct"/>
            <w:shd w:val="clear" w:color="auto" w:fill="auto"/>
          </w:tcPr>
          <w:p w14:paraId="2A6406ED" w14:textId="1A769EEB" w:rsidR="00F0718D" w:rsidRPr="00614F84" w:rsidRDefault="00F0718D" w:rsidP="00073752">
            <w:pPr>
              <w:spacing w:after="0" w:line="240" w:lineRule="auto"/>
              <w:jc w:val="center"/>
              <w:rPr>
                <w:rFonts w:ascii="Cambria" w:eastAsia="Times New Roman" w:hAnsi="Cambria" w:cs="Times New Roman"/>
                <w:color w:val="000000"/>
                <w:sz w:val="20"/>
                <w:szCs w:val="20"/>
              </w:rPr>
            </w:pPr>
            <w:r w:rsidRPr="002103E2">
              <w:t>11-C00-010</w:t>
            </w:r>
          </w:p>
        </w:tc>
        <w:tc>
          <w:tcPr>
            <w:tcW w:w="378" w:type="pct"/>
            <w:shd w:val="clear" w:color="auto" w:fill="auto"/>
          </w:tcPr>
          <w:p w14:paraId="5A6A83FE" w14:textId="53BB6141" w:rsidR="00F0718D" w:rsidRPr="00614F84" w:rsidRDefault="00F0718D" w:rsidP="00435A83">
            <w:pPr>
              <w:spacing w:after="0" w:line="240" w:lineRule="auto"/>
              <w:jc w:val="center"/>
              <w:rPr>
                <w:rFonts w:ascii="Cambria" w:eastAsia="Times New Roman" w:hAnsi="Cambria" w:cs="Times New Roman"/>
                <w:color w:val="000000"/>
                <w:lang w:bidi="ar-IQ"/>
              </w:rPr>
            </w:pPr>
            <w:r w:rsidRPr="002103E2">
              <w:t>Tropicamide 1% Eye Drop</w:t>
            </w:r>
          </w:p>
        </w:tc>
        <w:tc>
          <w:tcPr>
            <w:tcW w:w="249" w:type="pct"/>
            <w:shd w:val="clear" w:color="auto" w:fill="auto"/>
            <w:vAlign w:val="center"/>
          </w:tcPr>
          <w:p w14:paraId="43569591" w14:textId="77777777" w:rsidR="00F0718D" w:rsidRPr="00F04CA9" w:rsidRDefault="00F0718D" w:rsidP="00073752">
            <w:pPr>
              <w:spacing w:after="0" w:line="240" w:lineRule="auto"/>
              <w:rPr>
                <w:rFonts w:eastAsia="Times New Roman" w:cs="Calibri"/>
                <w:color w:val="000000"/>
              </w:rPr>
            </w:pPr>
          </w:p>
        </w:tc>
        <w:tc>
          <w:tcPr>
            <w:tcW w:w="130" w:type="pct"/>
            <w:shd w:val="clear" w:color="auto" w:fill="auto"/>
            <w:vAlign w:val="center"/>
          </w:tcPr>
          <w:p w14:paraId="6BB4C3E6" w14:textId="77777777" w:rsidR="00F0718D" w:rsidRDefault="00F0718D" w:rsidP="00073752">
            <w:pPr>
              <w:rPr>
                <w:rFonts w:cs="Calibri"/>
                <w:color w:val="000000"/>
              </w:rPr>
            </w:pPr>
          </w:p>
        </w:tc>
        <w:tc>
          <w:tcPr>
            <w:tcW w:w="104" w:type="pct"/>
            <w:shd w:val="clear" w:color="auto" w:fill="auto"/>
            <w:vAlign w:val="bottom"/>
          </w:tcPr>
          <w:p w14:paraId="10CC41CC" w14:textId="77777777" w:rsidR="00F0718D" w:rsidRDefault="00F0718D" w:rsidP="00073752">
            <w:pPr>
              <w:rPr>
                <w:rFonts w:cs="Calibri"/>
                <w:color w:val="000000"/>
                <w:sz w:val="16"/>
                <w:szCs w:val="16"/>
              </w:rPr>
            </w:pPr>
          </w:p>
        </w:tc>
        <w:tc>
          <w:tcPr>
            <w:tcW w:w="233" w:type="pct"/>
            <w:shd w:val="clear" w:color="auto" w:fill="auto"/>
            <w:vAlign w:val="bottom"/>
          </w:tcPr>
          <w:p w14:paraId="0704F087" w14:textId="77777777" w:rsidR="00F0718D" w:rsidRDefault="00F0718D" w:rsidP="00073752">
            <w:pPr>
              <w:rPr>
                <w:rFonts w:cs="Calibri"/>
                <w:color w:val="000000"/>
                <w:sz w:val="16"/>
                <w:szCs w:val="16"/>
              </w:rPr>
            </w:pPr>
          </w:p>
        </w:tc>
        <w:tc>
          <w:tcPr>
            <w:tcW w:w="219" w:type="pct"/>
            <w:shd w:val="clear" w:color="auto" w:fill="auto"/>
            <w:vAlign w:val="bottom"/>
          </w:tcPr>
          <w:p w14:paraId="638C0E1C" w14:textId="77777777" w:rsidR="00F0718D" w:rsidRDefault="00F0718D" w:rsidP="00073752">
            <w:pPr>
              <w:rPr>
                <w:rFonts w:cs="Calibri"/>
                <w:color w:val="000000"/>
                <w:sz w:val="16"/>
                <w:szCs w:val="16"/>
              </w:rPr>
            </w:pPr>
          </w:p>
        </w:tc>
        <w:tc>
          <w:tcPr>
            <w:tcW w:w="190" w:type="pct"/>
            <w:shd w:val="clear" w:color="auto" w:fill="auto"/>
            <w:vAlign w:val="bottom"/>
          </w:tcPr>
          <w:p w14:paraId="0F062250" w14:textId="77777777" w:rsidR="00F0718D" w:rsidRDefault="00F0718D" w:rsidP="00073752">
            <w:pPr>
              <w:rPr>
                <w:rFonts w:cs="Calibri"/>
                <w:color w:val="000000"/>
                <w:sz w:val="16"/>
                <w:szCs w:val="16"/>
              </w:rPr>
            </w:pPr>
          </w:p>
        </w:tc>
        <w:tc>
          <w:tcPr>
            <w:tcW w:w="194" w:type="pct"/>
            <w:shd w:val="clear" w:color="auto" w:fill="auto"/>
            <w:vAlign w:val="center"/>
          </w:tcPr>
          <w:p w14:paraId="795F1E3E"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51181FCB"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2" w:type="pct"/>
            <w:shd w:val="clear" w:color="auto" w:fill="auto"/>
            <w:vAlign w:val="center"/>
          </w:tcPr>
          <w:p w14:paraId="25887E8C" w14:textId="77777777" w:rsidR="00F0718D"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5" w:type="pct"/>
            <w:shd w:val="clear" w:color="auto" w:fill="auto"/>
            <w:vAlign w:val="center"/>
          </w:tcPr>
          <w:p w14:paraId="006B857F" w14:textId="77777777" w:rsidR="00F0718D" w:rsidRPr="00233B59" w:rsidRDefault="00F0718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5" w:type="pct"/>
            <w:shd w:val="clear" w:color="auto" w:fill="auto"/>
            <w:vAlign w:val="center"/>
          </w:tcPr>
          <w:p w14:paraId="37ED1B4D" w14:textId="77777777" w:rsidR="00F0718D" w:rsidRPr="005F17BD" w:rsidRDefault="00F0718D"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3" w:type="pct"/>
            <w:shd w:val="clear" w:color="auto" w:fill="auto"/>
            <w:vAlign w:val="center"/>
          </w:tcPr>
          <w:p w14:paraId="1E3D1B5D"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94F7B2E"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5" w:type="pct"/>
            <w:shd w:val="clear" w:color="auto" w:fill="auto"/>
            <w:vAlign w:val="center"/>
          </w:tcPr>
          <w:p w14:paraId="6935569F"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E48F378"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auto"/>
            <w:vAlign w:val="center"/>
          </w:tcPr>
          <w:p w14:paraId="0FB1170B" w14:textId="77777777" w:rsidR="00F0718D"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14:paraId="17CDA94F" w14:textId="77777777" w:rsidR="00F0718D" w:rsidRDefault="00F0718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5" w:type="pct"/>
            <w:shd w:val="clear" w:color="auto" w:fill="auto"/>
            <w:vAlign w:val="center"/>
          </w:tcPr>
          <w:p w14:paraId="47E50AE6" w14:textId="77777777" w:rsidR="00F0718D" w:rsidRPr="005F17BD" w:rsidRDefault="00F0718D"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6" w:type="pct"/>
            <w:shd w:val="clear" w:color="auto" w:fill="auto"/>
            <w:vAlign w:val="center"/>
          </w:tcPr>
          <w:p w14:paraId="38DFF32B"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auto"/>
            <w:vAlign w:val="center"/>
          </w:tcPr>
          <w:p w14:paraId="02809BC1" w14:textId="77777777" w:rsidR="00F0718D" w:rsidRPr="00233B59"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auto"/>
            <w:vAlign w:val="center"/>
          </w:tcPr>
          <w:p w14:paraId="1AE3FA81" w14:textId="77777777" w:rsidR="00F0718D" w:rsidRDefault="00F0718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1E16A" w14:textId="77777777" w:rsidR="00D90774" w:rsidRDefault="00D90774" w:rsidP="00400881">
      <w:pPr>
        <w:spacing w:after="0" w:line="240" w:lineRule="auto"/>
      </w:pPr>
      <w:r>
        <w:separator/>
      </w:r>
    </w:p>
  </w:endnote>
  <w:endnote w:type="continuationSeparator" w:id="0">
    <w:p w14:paraId="361BE63F" w14:textId="77777777" w:rsidR="00D90774" w:rsidRDefault="00D9077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973537" w:rsidRPr="00D1391E" w:rsidRDefault="0097353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14202">
          <w:rPr>
            <w:noProof/>
            <w:sz w:val="24"/>
            <w:szCs w:val="24"/>
          </w:rPr>
          <w:t>81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E6E1A" w14:textId="77777777" w:rsidR="00D90774" w:rsidRDefault="00D90774" w:rsidP="00400881">
      <w:pPr>
        <w:spacing w:after="0" w:line="240" w:lineRule="auto"/>
      </w:pPr>
      <w:r>
        <w:separator/>
      </w:r>
    </w:p>
  </w:footnote>
  <w:footnote w:type="continuationSeparator" w:id="0">
    <w:p w14:paraId="42D91FA5" w14:textId="77777777" w:rsidR="00D90774" w:rsidRDefault="00D90774" w:rsidP="00400881">
      <w:pPr>
        <w:spacing w:after="0" w:line="240" w:lineRule="auto"/>
      </w:pPr>
      <w:r>
        <w:continuationSeparator/>
      </w:r>
    </w:p>
  </w:footnote>
  <w:footnote w:id="1">
    <w:p w14:paraId="3AE6532D" w14:textId="77777777" w:rsidR="00973537" w:rsidRDefault="0097353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973537" w:rsidRDefault="0097353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973537" w:rsidRDefault="0097353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73537" w:rsidRDefault="0097353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73537" w:rsidRDefault="009735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973537" w:rsidRDefault="0097353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E0279"/>
    <w:rsid w:val="000E16F7"/>
    <w:rsid w:val="00101766"/>
    <w:rsid w:val="0011148F"/>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250"/>
    <w:rsid w:val="001D4346"/>
    <w:rsid w:val="001F4EA1"/>
    <w:rsid w:val="001F60A4"/>
    <w:rsid w:val="0020508D"/>
    <w:rsid w:val="002069D4"/>
    <w:rsid w:val="0021224D"/>
    <w:rsid w:val="00212EFA"/>
    <w:rsid w:val="00214234"/>
    <w:rsid w:val="0021796A"/>
    <w:rsid w:val="002317E2"/>
    <w:rsid w:val="00232FD1"/>
    <w:rsid w:val="002378D9"/>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4202"/>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35A83"/>
    <w:rsid w:val="00441CBD"/>
    <w:rsid w:val="004453A5"/>
    <w:rsid w:val="00445776"/>
    <w:rsid w:val="00456398"/>
    <w:rsid w:val="00463221"/>
    <w:rsid w:val="004673F4"/>
    <w:rsid w:val="0047562E"/>
    <w:rsid w:val="00483084"/>
    <w:rsid w:val="004834F1"/>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D2E97"/>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48C"/>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15CE6"/>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15B8"/>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26EEE"/>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0774"/>
    <w:rsid w:val="00D92D60"/>
    <w:rsid w:val="00DB449E"/>
    <w:rsid w:val="00DB569E"/>
    <w:rsid w:val="00DB5A1F"/>
    <w:rsid w:val="00DC1578"/>
    <w:rsid w:val="00DD5C6D"/>
    <w:rsid w:val="00DE0734"/>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0718D"/>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8680C"/>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0B407-B292-4BB4-BE7A-3C0C2455E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Pages>
  <Words>35213</Words>
  <Characters>200716</Characters>
  <Application>Microsoft Office Word</Application>
  <DocSecurity>0</DocSecurity>
  <Lines>1672</Lines>
  <Paragraphs>470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80</cp:revision>
  <cp:lastPrinted>2022-01-19T07:17:00Z</cp:lastPrinted>
  <dcterms:created xsi:type="dcterms:W3CDTF">2022-01-13T10:10:00Z</dcterms:created>
  <dcterms:modified xsi:type="dcterms:W3CDTF">2022-09-06T10:03:00Z</dcterms:modified>
</cp:coreProperties>
</file>