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B0BA30C" w:rsidR="00672659" w:rsidRPr="008D12BA" w:rsidRDefault="00672659" w:rsidP="0061474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14742">
              <w:rPr>
                <w:rFonts w:ascii="Simplified Arabic" w:hAnsi="Simplified Arabic" w:cs="Simplified Arabic"/>
                <w:b/>
                <w:bCs/>
                <w:color w:val="000000"/>
                <w:sz w:val="24"/>
                <w:szCs w:val="24"/>
                <w:highlight w:val="cyan"/>
                <w:lang w:bidi="ar-LB"/>
              </w:rPr>
              <w:t>12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7B7C8A">
              <w:rPr>
                <w:sz w:val="24"/>
                <w:szCs w:val="24"/>
              </w:rPr>
              <w:t>/</w:t>
            </w:r>
            <w:proofErr w:type="spellStart"/>
            <w:r w:rsidR="007B7C8A">
              <w:rPr>
                <w:sz w:val="24"/>
                <w:szCs w:val="24"/>
              </w:rPr>
              <w:t>Aa</w:t>
            </w:r>
            <w:proofErr w:type="spellEnd"/>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C25E378" w:rsidR="00672659" w:rsidRPr="008D12BA" w:rsidRDefault="00672659" w:rsidP="0061474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14742">
              <w:rPr>
                <w:rFonts w:ascii="Arial" w:hAnsi="Arial"/>
                <w:sz w:val="24"/>
                <w:szCs w:val="24"/>
                <w:highlight w:val="cyan"/>
              </w:rPr>
              <w:t>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B7C8A">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8C6A728" w:rsidR="00672659" w:rsidRPr="008D12BA" w:rsidRDefault="00672659" w:rsidP="0061474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14742">
              <w:rPr>
                <w:rFonts w:ascii="Arial" w:hAnsi="Arial"/>
                <w:spacing w:val="-2"/>
                <w:sz w:val="24"/>
                <w:szCs w:val="24"/>
                <w:highlight w:val="cyan"/>
              </w:rPr>
              <w:t>12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7B7C8A">
              <w:rPr>
                <w:rFonts w:ascii="Arial" w:hAnsi="Arial"/>
                <w:spacing w:val="-2"/>
                <w:sz w:val="24"/>
                <w:szCs w:val="24"/>
                <w:highlight w:val="cyan"/>
              </w:rPr>
              <w:t>/</w:t>
            </w:r>
            <w:proofErr w:type="spellStart"/>
            <w:r w:rsidR="007B7C8A">
              <w:rPr>
                <w:rFonts w:ascii="Arial" w:hAnsi="Arial"/>
                <w:spacing w:val="-2"/>
                <w:sz w:val="24"/>
                <w:szCs w:val="24"/>
                <w:highlight w:val="cyan"/>
              </w:rPr>
              <w:t>Aa</w:t>
            </w:r>
            <w:proofErr w:type="spellEnd"/>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88E42E4" w:rsidR="00672659" w:rsidRPr="008D12BA" w:rsidRDefault="00672659" w:rsidP="0061474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14742">
              <w:rPr>
                <w:sz w:val="24"/>
                <w:szCs w:val="24"/>
              </w:rPr>
              <w:t>9</w:t>
            </w:r>
            <w:r w:rsidRPr="008D12BA">
              <w:rPr>
                <w:sz w:val="24"/>
                <w:szCs w:val="24"/>
              </w:rPr>
              <w:t xml:space="preserve"> </w:t>
            </w:r>
            <w:r w:rsidRPr="008D12BA">
              <w:rPr>
                <w:sz w:val="24"/>
                <w:szCs w:val="24"/>
                <w:highlight w:val="cyan"/>
              </w:rPr>
              <w:t xml:space="preserve">/ </w:t>
            </w:r>
            <w:proofErr w:type="gramStart"/>
            <w:r w:rsidR="007B7C8A">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614742">
              <w:rPr>
                <w:sz w:val="24"/>
                <w:szCs w:val="24"/>
                <w:highlight w:val="cyan"/>
              </w:rPr>
              <w:t>12</w:t>
            </w:r>
            <w:r w:rsidRPr="008D12BA">
              <w:rPr>
                <w:sz w:val="24"/>
                <w:szCs w:val="24"/>
                <w:highlight w:val="cyan"/>
              </w:rPr>
              <w:t xml:space="preserve"> /     </w:t>
            </w:r>
            <w:r w:rsidR="00BD1DE4">
              <w:rPr>
                <w:sz w:val="24"/>
                <w:szCs w:val="24"/>
                <w:highlight w:val="cyan"/>
              </w:rPr>
              <w:t>10</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63FBE8F8" w:rsidR="00672659" w:rsidRPr="008D12BA" w:rsidRDefault="00672659" w:rsidP="0061474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614742">
              <w:rPr>
                <w:rFonts w:ascii="Arial" w:hAnsi="Arial"/>
                <w:sz w:val="24"/>
                <w:szCs w:val="24"/>
                <w:highlight w:val="cyan"/>
              </w:rPr>
              <w:t>18</w:t>
            </w:r>
            <w:r w:rsidRPr="008D12BA">
              <w:rPr>
                <w:rFonts w:ascii="Arial" w:hAnsi="Arial"/>
                <w:sz w:val="24"/>
                <w:szCs w:val="24"/>
                <w:highlight w:val="cyan"/>
              </w:rPr>
              <w:t xml:space="preserve">    / </w:t>
            </w:r>
            <w:proofErr w:type="gramStart"/>
            <w:r w:rsidR="00BD1DE4">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516E5525" w:rsidR="00704953" w:rsidRPr="00120DE8" w:rsidRDefault="00704953" w:rsidP="0061474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14742">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/2022</w:t>
            </w:r>
            <w:r w:rsidR="007B7C8A">
              <w:rPr>
                <w:rFonts w:ascii="Arial" w:eastAsia="Times New Roman" w:hAnsi="Arial"/>
                <w:b/>
                <w:bCs/>
                <w:sz w:val="24"/>
                <w:szCs w:val="24"/>
                <w:u w:val="single"/>
              </w:rPr>
              <w:t xml:space="preserve">/ </w:t>
            </w:r>
            <w:proofErr w:type="spellStart"/>
            <w:r w:rsidR="007B7C8A">
              <w:rPr>
                <w:rFonts w:ascii="Arial" w:eastAsia="Times New Roman" w:hAnsi="Arial"/>
                <w:b/>
                <w:bCs/>
                <w:sz w:val="24"/>
                <w:szCs w:val="24"/>
                <w:u w:val="single"/>
              </w:rPr>
              <w:t>Aa</w:t>
            </w:r>
            <w:proofErr w:type="spellEnd"/>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614742" w:rsidRPr="00844D38" w14:paraId="73E48362" w14:textId="77777777" w:rsidTr="006839FE">
        <w:trPr>
          <w:trHeight w:val="900"/>
        </w:trPr>
        <w:tc>
          <w:tcPr>
            <w:tcW w:w="666" w:type="dxa"/>
            <w:vAlign w:val="center"/>
          </w:tcPr>
          <w:p w14:paraId="3AFB377F" w14:textId="7264B5A1" w:rsidR="00614742" w:rsidRPr="00844D38" w:rsidRDefault="00614742"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1C98E8F6" w:rsidR="00614742" w:rsidRPr="00844D38" w:rsidRDefault="00614742" w:rsidP="00DB569E">
            <w:pPr>
              <w:jc w:val="center"/>
              <w:rPr>
                <w:rFonts w:eastAsia="Times New Roman" w:cs="Calibri"/>
                <w:b/>
                <w:bCs/>
                <w:color w:val="000000"/>
              </w:rPr>
            </w:pPr>
            <w:r>
              <w:rPr>
                <w:rFonts w:ascii="Arial" w:hAnsi="Arial" w:cs="Arial"/>
                <w:b/>
                <w:bCs/>
                <w:sz w:val="20"/>
                <w:szCs w:val="20"/>
              </w:rPr>
              <w:t>08-H00-020</w:t>
            </w:r>
          </w:p>
        </w:tc>
        <w:tc>
          <w:tcPr>
            <w:tcW w:w="3067" w:type="dxa"/>
          </w:tcPr>
          <w:p w14:paraId="022B674E" w14:textId="312DE86E" w:rsidR="00614742" w:rsidRPr="00844D38" w:rsidRDefault="00614742" w:rsidP="00DB569E">
            <w:pPr>
              <w:jc w:val="center"/>
              <w:rPr>
                <w:rFonts w:eastAsia="Times New Roman" w:cs="Calibri"/>
                <w:b/>
                <w:bCs/>
                <w:color w:val="000000"/>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1367" w:type="dxa"/>
            <w:vAlign w:val="center"/>
          </w:tcPr>
          <w:p w14:paraId="5626D002" w14:textId="493A8D3E" w:rsidR="00614742" w:rsidRPr="00844D38" w:rsidRDefault="00614742" w:rsidP="00DB569E">
            <w:pPr>
              <w:jc w:val="center"/>
              <w:rPr>
                <w:rFonts w:eastAsia="Times New Roman" w:cs="Calibri"/>
                <w:b/>
                <w:bCs/>
                <w:color w:val="000000"/>
              </w:rPr>
            </w:pPr>
            <w:r>
              <w:rPr>
                <w:rFonts w:ascii="Arial" w:hAnsi="Arial" w:cs="Arial"/>
                <w:color w:val="000000"/>
              </w:rPr>
              <w:t>450</w:t>
            </w:r>
          </w:p>
        </w:tc>
        <w:tc>
          <w:tcPr>
            <w:tcW w:w="1365" w:type="dxa"/>
            <w:vAlign w:val="center"/>
          </w:tcPr>
          <w:p w14:paraId="2A06D12B" w14:textId="66494FB9" w:rsidR="00614742" w:rsidRPr="00844D38" w:rsidRDefault="00614742" w:rsidP="00DB569E">
            <w:pPr>
              <w:jc w:val="center"/>
              <w:rPr>
                <w:rFonts w:eastAsia="Times New Roman" w:cs="Calibri"/>
                <w:b/>
                <w:bCs/>
                <w:color w:val="000000"/>
              </w:rPr>
            </w:pPr>
            <w:r>
              <w:rPr>
                <w:rFonts w:ascii="Arial" w:hAnsi="Arial" w:cs="Arial"/>
                <w:color w:val="000000"/>
                <w:sz w:val="20"/>
                <w:szCs w:val="20"/>
              </w:rPr>
              <w:t>1 IU</w:t>
            </w:r>
          </w:p>
        </w:tc>
        <w:tc>
          <w:tcPr>
            <w:tcW w:w="1091" w:type="dxa"/>
            <w:vAlign w:val="center"/>
          </w:tcPr>
          <w:p w14:paraId="62933370" w14:textId="258461FF" w:rsidR="00614742" w:rsidRPr="00844D38" w:rsidRDefault="00614742" w:rsidP="00DB569E">
            <w:pPr>
              <w:jc w:val="center"/>
              <w:rPr>
                <w:rFonts w:eastAsia="Times New Roman" w:cs="Calibri"/>
                <w:b/>
                <w:bCs/>
                <w:color w:val="000000"/>
              </w:rPr>
            </w:pPr>
            <w:r>
              <w:rPr>
                <w:rFonts w:ascii="Arial" w:hAnsi="Arial" w:cs="Arial"/>
                <w:color w:val="000000"/>
              </w:rPr>
              <w:t>5.00</w:t>
            </w:r>
          </w:p>
        </w:tc>
        <w:tc>
          <w:tcPr>
            <w:tcW w:w="1222" w:type="dxa"/>
            <w:vAlign w:val="center"/>
          </w:tcPr>
          <w:p w14:paraId="44294134" w14:textId="62B03BCA" w:rsidR="00614742" w:rsidRPr="00844D38" w:rsidRDefault="00614742" w:rsidP="00DB569E">
            <w:pPr>
              <w:jc w:val="center"/>
              <w:rPr>
                <w:rFonts w:eastAsia="Times New Roman" w:cs="Calibri"/>
                <w:b/>
                <w:bCs/>
                <w:color w:val="000000"/>
              </w:rPr>
            </w:pPr>
            <w:r>
              <w:rPr>
                <w:rFonts w:ascii="Arial" w:hAnsi="Arial" w:cs="Arial"/>
                <w:color w:val="000000"/>
              </w:rPr>
              <w:t> </w:t>
            </w:r>
          </w:p>
        </w:tc>
        <w:tc>
          <w:tcPr>
            <w:tcW w:w="1210" w:type="dxa"/>
            <w:vAlign w:val="center"/>
          </w:tcPr>
          <w:p w14:paraId="7DB748D8" w14:textId="1DF2B184" w:rsidR="00614742" w:rsidRPr="00844D38" w:rsidRDefault="00614742" w:rsidP="00DB569E">
            <w:pPr>
              <w:jc w:val="center"/>
              <w:rPr>
                <w:rFonts w:eastAsia="Times New Roman" w:cs="Calibri"/>
                <w:b/>
                <w:bCs/>
                <w:color w:val="000000"/>
              </w:rPr>
            </w:pPr>
            <w:r>
              <w:rPr>
                <w:rFonts w:ascii="Arial" w:hAnsi="Arial" w:cs="Arial"/>
                <w:color w:val="000000"/>
              </w:rPr>
              <w:t> </w:t>
            </w:r>
          </w:p>
        </w:tc>
        <w:tc>
          <w:tcPr>
            <w:tcW w:w="1119" w:type="dxa"/>
            <w:gridSpan w:val="2"/>
            <w:vAlign w:val="center"/>
          </w:tcPr>
          <w:p w14:paraId="7B728851" w14:textId="0290D578" w:rsidR="00614742" w:rsidRPr="00844D38" w:rsidRDefault="00614742" w:rsidP="00DB569E">
            <w:pPr>
              <w:jc w:val="center"/>
              <w:rPr>
                <w:rFonts w:eastAsia="Times New Roman" w:cs="Calibri"/>
                <w:b/>
                <w:bCs/>
                <w:color w:val="000000"/>
              </w:rPr>
            </w:pPr>
            <w:r>
              <w:rPr>
                <w:rFonts w:ascii="Arial" w:hAnsi="Arial" w:cs="Arial"/>
                <w:color w:val="000000"/>
              </w:rPr>
              <w:t> </w:t>
            </w:r>
          </w:p>
        </w:tc>
      </w:tr>
      <w:tr w:rsidR="00614742" w:rsidRPr="00844D38" w14:paraId="6DA5D36F" w14:textId="77777777" w:rsidTr="006839FE">
        <w:trPr>
          <w:trHeight w:val="900"/>
        </w:trPr>
        <w:tc>
          <w:tcPr>
            <w:tcW w:w="666" w:type="dxa"/>
            <w:vAlign w:val="center"/>
          </w:tcPr>
          <w:p w14:paraId="291F6D0C" w14:textId="095A1F22" w:rsidR="00614742" w:rsidRDefault="00614742" w:rsidP="00DB569E">
            <w:pPr>
              <w:jc w:val="center"/>
              <w:rPr>
                <w:rFonts w:ascii="Calibri" w:hAnsi="Calibri" w:cs="Arial"/>
                <w:b/>
                <w:bCs/>
                <w:sz w:val="28"/>
                <w:szCs w:val="28"/>
              </w:rPr>
            </w:pPr>
            <w:r>
              <w:rPr>
                <w:rFonts w:ascii="Arial" w:hAnsi="Arial" w:cs="Arial"/>
                <w:color w:val="000000"/>
              </w:rPr>
              <w:t>2</w:t>
            </w:r>
          </w:p>
        </w:tc>
        <w:tc>
          <w:tcPr>
            <w:tcW w:w="1493" w:type="dxa"/>
            <w:vAlign w:val="center"/>
          </w:tcPr>
          <w:p w14:paraId="35A72CB1" w14:textId="61691A38" w:rsidR="00614742" w:rsidRPr="00844D38" w:rsidRDefault="00614742" w:rsidP="00DB569E">
            <w:pPr>
              <w:jc w:val="center"/>
              <w:rPr>
                <w:rFonts w:eastAsia="Times New Roman" w:cs="Calibri"/>
                <w:b/>
                <w:bCs/>
                <w:color w:val="000000"/>
              </w:rPr>
            </w:pPr>
            <w:r>
              <w:rPr>
                <w:rFonts w:ascii="Arial" w:hAnsi="Arial" w:cs="Arial"/>
                <w:b/>
                <w:bCs/>
                <w:sz w:val="20"/>
                <w:szCs w:val="20"/>
              </w:rPr>
              <w:t>08-H00-022</w:t>
            </w:r>
          </w:p>
        </w:tc>
        <w:tc>
          <w:tcPr>
            <w:tcW w:w="3067" w:type="dxa"/>
          </w:tcPr>
          <w:p w14:paraId="696A5924" w14:textId="181FB007" w:rsidR="00614742" w:rsidRPr="00D36B35" w:rsidRDefault="00614742" w:rsidP="00DB569E">
            <w:pPr>
              <w:jc w:val="center"/>
              <w:rPr>
                <w:rFonts w:ascii="Arial" w:hAnsi="Arial" w:cs="Arial"/>
              </w:rPr>
            </w:pPr>
            <w:r>
              <w:rPr>
                <w:rFonts w:ascii="Arial" w:hAnsi="Arial" w:cs="Arial"/>
                <w:b/>
                <w:bCs/>
                <w:vertAlign w:val="superscript"/>
              </w:rPr>
              <w:t xml:space="preserve">Human </w:t>
            </w:r>
            <w:proofErr w:type="spellStart"/>
            <w:r>
              <w:rPr>
                <w:rFonts w:ascii="Arial" w:hAnsi="Arial" w:cs="Arial"/>
                <w:b/>
                <w:bCs/>
                <w:vertAlign w:val="superscript"/>
              </w:rPr>
              <w:t>Prothrombin</w:t>
            </w:r>
            <w:proofErr w:type="spellEnd"/>
            <w:r>
              <w:rPr>
                <w:rFonts w:ascii="Arial" w:hAnsi="Arial" w:cs="Arial"/>
                <w:b/>
                <w:bCs/>
                <w:vertAlign w:val="superscript"/>
              </w:rPr>
              <w:t xml:space="preserve">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1367" w:type="dxa"/>
            <w:vAlign w:val="center"/>
          </w:tcPr>
          <w:p w14:paraId="2FEAA7ED" w14:textId="12B0B0FF" w:rsidR="00614742" w:rsidRPr="00844D38" w:rsidRDefault="00614742" w:rsidP="00DB569E">
            <w:pPr>
              <w:jc w:val="center"/>
              <w:rPr>
                <w:rFonts w:eastAsia="Times New Roman" w:cs="Calibri"/>
                <w:b/>
                <w:bCs/>
                <w:color w:val="000000"/>
              </w:rPr>
            </w:pPr>
            <w:r>
              <w:rPr>
                <w:rFonts w:ascii="Arial" w:hAnsi="Arial" w:cs="Arial"/>
                <w:color w:val="000000"/>
              </w:rPr>
              <w:t>788</w:t>
            </w:r>
          </w:p>
        </w:tc>
        <w:tc>
          <w:tcPr>
            <w:tcW w:w="1365" w:type="dxa"/>
            <w:vAlign w:val="center"/>
          </w:tcPr>
          <w:p w14:paraId="5838ED83" w14:textId="1F82DFCF" w:rsidR="00614742" w:rsidRPr="00844D38" w:rsidRDefault="00614742" w:rsidP="00DB569E">
            <w:pPr>
              <w:jc w:val="center"/>
              <w:rPr>
                <w:rFonts w:eastAsia="Times New Roman" w:cs="Calibri"/>
                <w:b/>
                <w:bCs/>
                <w:color w:val="000000"/>
              </w:rPr>
            </w:pPr>
            <w:r>
              <w:rPr>
                <w:rFonts w:ascii="Arial" w:hAnsi="Arial" w:cs="Arial"/>
                <w:color w:val="000000"/>
              </w:rPr>
              <w:t xml:space="preserve">powder +solvent for </w:t>
            </w:r>
            <w:proofErr w:type="spellStart"/>
            <w:r>
              <w:rPr>
                <w:rFonts w:ascii="Arial" w:hAnsi="Arial" w:cs="Arial"/>
                <w:color w:val="000000"/>
              </w:rPr>
              <w:t>inj</w:t>
            </w:r>
            <w:proofErr w:type="spellEnd"/>
          </w:p>
        </w:tc>
        <w:tc>
          <w:tcPr>
            <w:tcW w:w="1091" w:type="dxa"/>
            <w:vAlign w:val="center"/>
          </w:tcPr>
          <w:p w14:paraId="1AFCA032" w14:textId="7AD0D260" w:rsidR="00614742" w:rsidRPr="00844D38" w:rsidRDefault="00614742" w:rsidP="00DB569E">
            <w:pPr>
              <w:jc w:val="center"/>
              <w:rPr>
                <w:rFonts w:eastAsia="Times New Roman" w:cs="Calibri"/>
                <w:b/>
                <w:bCs/>
                <w:color w:val="000000"/>
              </w:rPr>
            </w:pPr>
            <w:r>
              <w:rPr>
                <w:rFonts w:ascii="Arial" w:hAnsi="Arial" w:cs="Arial"/>
                <w:color w:val="000000"/>
              </w:rPr>
              <w:t>500</w:t>
            </w:r>
          </w:p>
        </w:tc>
        <w:tc>
          <w:tcPr>
            <w:tcW w:w="1222" w:type="dxa"/>
            <w:vAlign w:val="center"/>
          </w:tcPr>
          <w:p w14:paraId="689A5D54" w14:textId="3823A656" w:rsidR="00614742" w:rsidRPr="00844D38" w:rsidRDefault="00614742" w:rsidP="00DB569E">
            <w:pPr>
              <w:jc w:val="center"/>
              <w:rPr>
                <w:rFonts w:eastAsia="Times New Roman" w:cs="Calibri"/>
                <w:b/>
                <w:bCs/>
                <w:color w:val="000000"/>
              </w:rPr>
            </w:pPr>
            <w:r>
              <w:rPr>
                <w:rFonts w:ascii="Arial" w:hAnsi="Arial" w:cs="Arial"/>
                <w:color w:val="000000"/>
              </w:rPr>
              <w:t>350</w:t>
            </w:r>
          </w:p>
        </w:tc>
        <w:tc>
          <w:tcPr>
            <w:tcW w:w="1210" w:type="dxa"/>
            <w:vAlign w:val="center"/>
          </w:tcPr>
          <w:p w14:paraId="04FB3E14" w14:textId="4AB0F5A7" w:rsidR="00614742" w:rsidRPr="00844D38" w:rsidRDefault="00614742" w:rsidP="00DB569E">
            <w:pPr>
              <w:jc w:val="center"/>
              <w:rPr>
                <w:rFonts w:eastAsia="Times New Roman" w:cs="Calibri"/>
                <w:b/>
                <w:bCs/>
                <w:color w:val="000000"/>
              </w:rPr>
            </w:pPr>
            <w:r>
              <w:rPr>
                <w:rFonts w:ascii="Arial" w:hAnsi="Arial" w:cs="Arial"/>
                <w:color w:val="000000"/>
              </w:rPr>
              <w:t>225</w:t>
            </w:r>
          </w:p>
        </w:tc>
        <w:tc>
          <w:tcPr>
            <w:tcW w:w="1119" w:type="dxa"/>
            <w:gridSpan w:val="2"/>
            <w:vAlign w:val="center"/>
          </w:tcPr>
          <w:p w14:paraId="35894195" w14:textId="01CCDB4B" w:rsidR="00614742" w:rsidRPr="00844D38" w:rsidRDefault="00614742" w:rsidP="00DB569E">
            <w:pPr>
              <w:jc w:val="center"/>
              <w:rPr>
                <w:rFonts w:eastAsia="Times New Roman" w:cs="Calibri"/>
                <w:b/>
                <w:bCs/>
                <w:color w:val="000000"/>
              </w:rPr>
            </w:pPr>
            <w:r>
              <w:rPr>
                <w:rFonts w:ascii="Arial" w:hAnsi="Arial" w:cs="Arial"/>
                <w:color w:val="000000"/>
              </w:rPr>
              <w:t>125</w:t>
            </w:r>
          </w:p>
        </w:tc>
      </w:tr>
    </w:tbl>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lastRenderedPageBreak/>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53C34950" w:rsidR="00672659" w:rsidRPr="004D22E1" w:rsidRDefault="00672659" w:rsidP="0061474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14742">
              <w:rPr>
                <w:rFonts w:ascii="Arial" w:hAnsi="Arial"/>
                <w:b/>
                <w:spacing w:val="-2"/>
                <w:sz w:val="24"/>
                <w:szCs w:val="24"/>
                <w:highlight w:val="cyan"/>
              </w:rPr>
              <w:t>12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7B7C8A">
              <w:rPr>
                <w:rFonts w:ascii="Arial" w:hAnsi="Arial"/>
                <w:b/>
                <w:spacing w:val="-2"/>
                <w:sz w:val="24"/>
                <w:szCs w:val="24"/>
                <w:highlight w:val="cyan"/>
              </w:rPr>
              <w:t>/</w:t>
            </w:r>
            <w:proofErr w:type="spellStart"/>
            <w:r w:rsidR="007B7C8A">
              <w:rPr>
                <w:rFonts w:ascii="Arial" w:hAnsi="Arial"/>
                <w:b/>
                <w:spacing w:val="-2"/>
                <w:sz w:val="24"/>
                <w:szCs w:val="24"/>
                <w:highlight w:val="cyan"/>
              </w:rPr>
              <w:t>Aa</w:t>
            </w:r>
            <w:proofErr w:type="spellEnd"/>
            <w:r w:rsidR="007B7C8A">
              <w:rPr>
                <w:rFonts w:ascii="Arial" w:hAnsi="Arial"/>
                <w:b/>
                <w:spacing w:val="-2"/>
                <w:sz w:val="24"/>
                <w:szCs w:val="24"/>
                <w:highlight w:val="cyan"/>
              </w:rPr>
              <w:t xml:space="preserve"> </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B497D8F" w:rsidR="00672659" w:rsidRPr="004D22E1" w:rsidRDefault="00672659" w:rsidP="0061474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B7C8A">
              <w:rPr>
                <w:rFonts w:ascii="Arial" w:hAnsi="Arial"/>
                <w:bCs/>
                <w:spacing w:val="-2"/>
                <w:sz w:val="24"/>
                <w:szCs w:val="24"/>
              </w:rPr>
              <w:t>1</w:t>
            </w:r>
            <w:r w:rsidR="00614742">
              <w:rPr>
                <w:rFonts w:ascii="Arial" w:hAnsi="Arial"/>
                <w:bCs/>
                <w:spacing w:val="-2"/>
                <w:sz w:val="24"/>
                <w:szCs w:val="24"/>
              </w:rPr>
              <w:t>2</w:t>
            </w:r>
            <w:r w:rsidR="007B7C8A">
              <w:rPr>
                <w:rFonts w:ascii="Arial" w:hAnsi="Arial"/>
                <w:bCs/>
                <w:spacing w:val="-2"/>
                <w:sz w:val="24"/>
                <w:szCs w:val="24"/>
              </w:rPr>
              <w:t>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EE0023C" w:rsidR="00672659" w:rsidRPr="004D22E1" w:rsidRDefault="00672659" w:rsidP="0061474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614742">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36C4DA3" w:rsidR="00672659" w:rsidRPr="004D22E1" w:rsidRDefault="00672659" w:rsidP="0061474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14742">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1B63781" w:rsidR="00672659" w:rsidRPr="004D22E1" w:rsidRDefault="00672659" w:rsidP="0061474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614742">
              <w:rPr>
                <w:rFonts w:ascii="Arial Narrow" w:eastAsia="Calibri" w:hAnsi="Arial Narrow" w:cs="Arial"/>
                <w:sz w:val="24"/>
                <w:szCs w:val="24"/>
              </w:rPr>
              <w:t>15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03919">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CB167D0" w:rsidR="00672659" w:rsidRPr="004D22E1" w:rsidRDefault="00672659" w:rsidP="0061474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14742">
              <w:rPr>
                <w:rFonts w:ascii="Arial" w:hAnsi="Arial"/>
                <w:b/>
                <w:spacing w:val="-2"/>
                <w:sz w:val="24"/>
                <w:szCs w:val="24"/>
                <w:highlight w:val="yellow"/>
              </w:rPr>
              <w:t>12</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7B7C8A">
              <w:rPr>
                <w:rFonts w:ascii="Arial" w:hAnsi="Arial"/>
                <w:bCs/>
                <w:spacing w:val="-2"/>
                <w:sz w:val="24"/>
                <w:szCs w:val="24"/>
              </w:rPr>
              <w:t>/</w:t>
            </w:r>
            <w:proofErr w:type="spellStart"/>
            <w:r w:rsidR="007B7C8A">
              <w:rPr>
                <w:rFonts w:ascii="Arial" w:hAnsi="Arial"/>
                <w:bCs/>
                <w:spacing w:val="-2"/>
                <w:sz w:val="24"/>
                <w:szCs w:val="24"/>
              </w:rPr>
              <w:t>Aa</w:t>
            </w:r>
            <w:proofErr w:type="spellEnd"/>
          </w:p>
          <w:p w14:paraId="0E828F6C" w14:textId="1F8E2A2A" w:rsidR="00672659" w:rsidRPr="004D22E1" w:rsidRDefault="00672659" w:rsidP="00614742">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B7C8A">
              <w:rPr>
                <w:rFonts w:ascii="Arial" w:hAnsi="Arial"/>
                <w:bCs/>
                <w:spacing w:val="-2"/>
                <w:sz w:val="24"/>
                <w:szCs w:val="24"/>
                <w:u w:val="single"/>
              </w:rPr>
              <w:t>1</w:t>
            </w:r>
            <w:r w:rsidR="00614742">
              <w:rPr>
                <w:rFonts w:ascii="Arial" w:hAnsi="Arial"/>
                <w:bCs/>
                <w:spacing w:val="-2"/>
                <w:sz w:val="24"/>
                <w:szCs w:val="24"/>
                <w:u w:val="single"/>
              </w:rPr>
              <w:t>2</w:t>
            </w:r>
            <w:r w:rsidR="007B7C8A">
              <w:rPr>
                <w:rFonts w:ascii="Arial" w:hAnsi="Arial"/>
                <w:bCs/>
                <w:spacing w:val="-2"/>
                <w:sz w:val="24"/>
                <w:szCs w:val="24"/>
                <w:u w:val="single"/>
              </w:rPr>
              <w:t>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72CEBDDA" w:rsidR="00672659" w:rsidRPr="004D22E1" w:rsidRDefault="00672659" w:rsidP="0061474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14742">
              <w:rPr>
                <w:rFonts w:ascii="Arial" w:hAnsi="Arial"/>
                <w:sz w:val="24"/>
                <w:szCs w:val="24"/>
                <w:highlight w:val="yellow"/>
                <w:lang w:val="en-GB"/>
              </w:rPr>
              <w:t>18</w:t>
            </w:r>
            <w:r w:rsidRPr="008C600C">
              <w:rPr>
                <w:rFonts w:ascii="Arial" w:hAnsi="Arial"/>
                <w:sz w:val="24"/>
                <w:szCs w:val="24"/>
                <w:highlight w:val="yellow"/>
                <w:lang w:val="en-GB"/>
              </w:rPr>
              <w:t xml:space="preserve">  /    </w:t>
            </w:r>
            <w:r w:rsidR="007B7C8A">
              <w:rPr>
                <w:rFonts w:ascii="Arial" w:hAnsi="Arial"/>
                <w:sz w:val="24"/>
                <w:szCs w:val="24"/>
                <w:highlight w:val="yellow"/>
                <w:lang w:val="en-GB"/>
              </w:rPr>
              <w:t>10</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7DD9321E" w:rsidR="00672659" w:rsidRPr="004D22E1" w:rsidRDefault="00672659" w:rsidP="00614742">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614742">
              <w:rPr>
                <w:rFonts w:ascii="Arial" w:hAnsi="Arial"/>
                <w:bCs/>
                <w:sz w:val="24"/>
                <w:szCs w:val="24"/>
              </w:rPr>
              <w:t>19</w:t>
            </w:r>
            <w:r w:rsidRPr="004D22E1">
              <w:rPr>
                <w:rFonts w:ascii="Arial" w:hAnsi="Arial"/>
                <w:bCs/>
                <w:sz w:val="24"/>
                <w:szCs w:val="24"/>
              </w:rPr>
              <w:t xml:space="preserve">  </w:t>
            </w:r>
            <w:r w:rsidRPr="004D22E1">
              <w:rPr>
                <w:rFonts w:ascii="Arial" w:hAnsi="Arial"/>
                <w:bCs/>
                <w:sz w:val="24"/>
                <w:szCs w:val="24"/>
                <w:lang w:val="en-GB"/>
              </w:rPr>
              <w:t xml:space="preserve">–   </w:t>
            </w:r>
            <w:r w:rsidR="00614742">
              <w:rPr>
                <w:rFonts w:ascii="Arial" w:hAnsi="Arial"/>
                <w:bCs/>
                <w:sz w:val="24"/>
                <w:szCs w:val="24"/>
                <w:lang w:val="en-GB"/>
              </w:rPr>
              <w:t>10</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
        <w:gridCol w:w="565"/>
        <w:gridCol w:w="967"/>
        <w:gridCol w:w="546"/>
        <w:gridCol w:w="1007"/>
        <w:gridCol w:w="701"/>
        <w:gridCol w:w="365"/>
        <w:gridCol w:w="294"/>
        <w:gridCol w:w="656"/>
        <w:gridCol w:w="617"/>
        <w:gridCol w:w="535"/>
        <w:gridCol w:w="547"/>
        <w:gridCol w:w="594"/>
        <w:gridCol w:w="427"/>
        <w:gridCol w:w="379"/>
        <w:gridCol w:w="436"/>
        <w:gridCol w:w="458"/>
        <w:gridCol w:w="475"/>
        <w:gridCol w:w="379"/>
        <w:gridCol w:w="555"/>
        <w:gridCol w:w="614"/>
        <w:gridCol w:w="513"/>
        <w:gridCol w:w="491"/>
        <w:gridCol w:w="438"/>
        <w:gridCol w:w="505"/>
        <w:gridCol w:w="614"/>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14742"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14742" w:rsidRPr="00233B59" w14:paraId="370DF3F8" w14:textId="77777777" w:rsidTr="00A25AC4">
        <w:tc>
          <w:tcPr>
            <w:tcW w:w="133" w:type="pct"/>
            <w:shd w:val="clear" w:color="auto" w:fill="auto"/>
          </w:tcPr>
          <w:p w14:paraId="2DE5E5FC" w14:textId="77777777" w:rsidR="00614742" w:rsidRPr="00D14D22"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14742" w:rsidRPr="00C6441A" w:rsidRDefault="00614742" w:rsidP="00073752"/>
        </w:tc>
        <w:tc>
          <w:tcPr>
            <w:tcW w:w="184" w:type="pct"/>
            <w:shd w:val="clear" w:color="auto" w:fill="auto"/>
            <w:vAlign w:val="center"/>
          </w:tcPr>
          <w:p w14:paraId="2A6406ED" w14:textId="5909F3C4" w:rsidR="00614742" w:rsidRPr="00614F84" w:rsidRDefault="00614742" w:rsidP="00D36B35">
            <w:pPr>
              <w:jc w:val="center"/>
              <w:rPr>
                <w:rFonts w:ascii="Cambria" w:eastAsia="Times New Roman" w:hAnsi="Cambria" w:cs="Times New Roman"/>
                <w:color w:val="000000"/>
                <w:sz w:val="20"/>
                <w:szCs w:val="20"/>
              </w:rPr>
            </w:pPr>
            <w:r>
              <w:rPr>
                <w:rFonts w:ascii="Arial" w:hAnsi="Arial" w:cs="Arial"/>
                <w:b/>
                <w:bCs/>
                <w:sz w:val="20"/>
                <w:szCs w:val="20"/>
              </w:rPr>
              <w:t>08-H00-020</w:t>
            </w:r>
          </w:p>
        </w:tc>
        <w:tc>
          <w:tcPr>
            <w:tcW w:w="178" w:type="pct"/>
            <w:shd w:val="clear" w:color="auto" w:fill="auto"/>
          </w:tcPr>
          <w:p w14:paraId="5A6A83FE" w14:textId="6DD988BB" w:rsidR="00614742" w:rsidRPr="00614F84" w:rsidRDefault="00614742" w:rsidP="00614742">
            <w:pPr>
              <w:jc w:val="center"/>
              <w:rPr>
                <w:rFonts w:ascii="Cambria" w:eastAsia="Times New Roman" w:hAnsi="Cambria" w:cs="Times New Roman"/>
                <w:color w:val="000000"/>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 xml:space="preserve">مع التأكد من كل المعايير العالمية التي </w:t>
            </w:r>
            <w:r>
              <w:rPr>
                <w:rFonts w:ascii="Arial" w:hAnsi="Arial" w:cs="Arial"/>
                <w:b/>
                <w:bCs/>
                <w:sz w:val="28"/>
                <w:szCs w:val="28"/>
                <w:vertAlign w:val="superscript"/>
                <w:rtl/>
              </w:rPr>
              <w:lastRenderedPageBreak/>
              <w:t>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 xml:space="preserve">الشركة المجهزة بتوفير الكشف عن </w:t>
            </w:r>
            <w:r>
              <w:rPr>
                <w:rFonts w:ascii="Arial" w:hAnsi="Arial" w:cs="Arial"/>
                <w:b/>
                <w:bCs/>
                <w:sz w:val="28"/>
                <w:szCs w:val="28"/>
                <w:vertAlign w:val="superscript"/>
                <w:rtl/>
              </w:rPr>
              <w:lastRenderedPageBreak/>
              <w:t>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262" w:type="pct"/>
            <w:shd w:val="clear" w:color="auto" w:fill="auto"/>
            <w:vAlign w:val="center"/>
          </w:tcPr>
          <w:p w14:paraId="43569591" w14:textId="77777777" w:rsidR="00614742" w:rsidRPr="00F04CA9" w:rsidRDefault="00614742"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14742" w:rsidRDefault="00614742" w:rsidP="00073752">
            <w:pPr>
              <w:rPr>
                <w:rFonts w:cs="Calibri"/>
                <w:color w:val="000000"/>
              </w:rPr>
            </w:pPr>
          </w:p>
        </w:tc>
        <w:tc>
          <w:tcPr>
            <w:tcW w:w="106" w:type="pct"/>
            <w:shd w:val="clear" w:color="auto" w:fill="auto"/>
            <w:vAlign w:val="bottom"/>
          </w:tcPr>
          <w:p w14:paraId="10CC41CC" w14:textId="77777777" w:rsidR="00614742" w:rsidRDefault="00614742" w:rsidP="00073752">
            <w:pPr>
              <w:rPr>
                <w:rFonts w:cs="Calibri"/>
                <w:color w:val="000000"/>
                <w:sz w:val="16"/>
                <w:szCs w:val="16"/>
              </w:rPr>
            </w:pPr>
          </w:p>
        </w:tc>
        <w:tc>
          <w:tcPr>
            <w:tcW w:w="245" w:type="pct"/>
            <w:shd w:val="clear" w:color="auto" w:fill="auto"/>
            <w:vAlign w:val="bottom"/>
          </w:tcPr>
          <w:p w14:paraId="0704F087" w14:textId="77777777" w:rsidR="00614742" w:rsidRDefault="00614742" w:rsidP="00073752">
            <w:pPr>
              <w:rPr>
                <w:rFonts w:cs="Calibri"/>
                <w:color w:val="000000"/>
                <w:sz w:val="16"/>
                <w:szCs w:val="16"/>
              </w:rPr>
            </w:pPr>
          </w:p>
        </w:tc>
        <w:tc>
          <w:tcPr>
            <w:tcW w:w="230" w:type="pct"/>
            <w:shd w:val="clear" w:color="auto" w:fill="auto"/>
            <w:vAlign w:val="bottom"/>
          </w:tcPr>
          <w:p w14:paraId="638C0E1C" w14:textId="77777777" w:rsidR="00614742" w:rsidRDefault="00614742" w:rsidP="00073752">
            <w:pPr>
              <w:rPr>
                <w:rFonts w:cs="Calibri"/>
                <w:color w:val="000000"/>
                <w:sz w:val="16"/>
                <w:szCs w:val="16"/>
              </w:rPr>
            </w:pPr>
          </w:p>
        </w:tc>
        <w:tc>
          <w:tcPr>
            <w:tcW w:w="199" w:type="pct"/>
            <w:shd w:val="clear" w:color="auto" w:fill="auto"/>
            <w:vAlign w:val="bottom"/>
          </w:tcPr>
          <w:p w14:paraId="0F062250" w14:textId="77777777" w:rsidR="00614742" w:rsidRDefault="00614742" w:rsidP="00073752">
            <w:pPr>
              <w:rPr>
                <w:rFonts w:cs="Calibri"/>
                <w:color w:val="000000"/>
                <w:sz w:val="16"/>
                <w:szCs w:val="16"/>
              </w:rPr>
            </w:pPr>
          </w:p>
        </w:tc>
        <w:tc>
          <w:tcPr>
            <w:tcW w:w="203" w:type="pct"/>
            <w:shd w:val="clear" w:color="auto" w:fill="auto"/>
            <w:vAlign w:val="center"/>
          </w:tcPr>
          <w:p w14:paraId="795F1E3E"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14742" w:rsidRPr="00233B59" w:rsidRDefault="006147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14742" w:rsidRPr="005F17BD"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14742" w:rsidRDefault="006147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14742" w:rsidRPr="005F17BD"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14742" w:rsidRPr="00233B59" w14:paraId="7E1A8D9B" w14:textId="77777777" w:rsidTr="00A25AC4">
        <w:tc>
          <w:tcPr>
            <w:tcW w:w="133" w:type="pct"/>
            <w:shd w:val="clear" w:color="auto" w:fill="auto"/>
          </w:tcPr>
          <w:p w14:paraId="0A58FAF7"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614742" w:rsidRPr="00C6441A" w:rsidRDefault="00614742" w:rsidP="00073752"/>
        </w:tc>
        <w:tc>
          <w:tcPr>
            <w:tcW w:w="184" w:type="pct"/>
            <w:shd w:val="clear" w:color="auto" w:fill="auto"/>
            <w:vAlign w:val="center"/>
          </w:tcPr>
          <w:p w14:paraId="5E8C490A" w14:textId="4D5F68AA" w:rsidR="00614742" w:rsidRPr="00614F84" w:rsidRDefault="00614742" w:rsidP="00D36B35">
            <w:pPr>
              <w:jc w:val="center"/>
              <w:rPr>
                <w:rFonts w:ascii="Cambria" w:eastAsia="Times New Roman" w:hAnsi="Cambria" w:cs="Times New Roman"/>
                <w:color w:val="000000"/>
                <w:sz w:val="20"/>
                <w:szCs w:val="20"/>
              </w:rPr>
            </w:pPr>
            <w:r>
              <w:rPr>
                <w:rFonts w:ascii="Arial" w:hAnsi="Arial" w:cs="Arial"/>
                <w:b/>
                <w:bCs/>
                <w:sz w:val="20"/>
                <w:szCs w:val="20"/>
              </w:rPr>
              <w:t>08-H00-022</w:t>
            </w:r>
          </w:p>
        </w:tc>
        <w:tc>
          <w:tcPr>
            <w:tcW w:w="178" w:type="pct"/>
            <w:shd w:val="clear" w:color="auto" w:fill="auto"/>
          </w:tcPr>
          <w:p w14:paraId="46DADA93" w14:textId="603F2FD3" w:rsidR="00614742" w:rsidRPr="00D36B35" w:rsidRDefault="00614742" w:rsidP="00D36B35">
            <w:pPr>
              <w:jc w:val="center"/>
              <w:rPr>
                <w:rFonts w:ascii="Arial" w:hAnsi="Arial" w:cs="Arial"/>
              </w:rPr>
            </w:pPr>
            <w:r>
              <w:rPr>
                <w:rFonts w:ascii="Arial" w:hAnsi="Arial" w:cs="Arial"/>
                <w:b/>
                <w:bCs/>
                <w:vertAlign w:val="superscript"/>
              </w:rPr>
              <w:t xml:space="preserve">Human </w:t>
            </w:r>
            <w:proofErr w:type="spellStart"/>
            <w:r>
              <w:rPr>
                <w:rFonts w:ascii="Arial" w:hAnsi="Arial" w:cs="Arial"/>
                <w:b/>
                <w:bCs/>
                <w:vertAlign w:val="superscript"/>
              </w:rPr>
              <w:t>Prothrombin</w:t>
            </w:r>
            <w:proofErr w:type="spellEnd"/>
            <w:r>
              <w:rPr>
                <w:rFonts w:ascii="Arial" w:hAnsi="Arial" w:cs="Arial"/>
                <w:b/>
                <w:bCs/>
                <w:vertAlign w:val="superscript"/>
              </w:rPr>
              <w:t xml:space="preserve">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 xml:space="preserve">Human </w:t>
            </w:r>
            <w:r>
              <w:rPr>
                <w:rFonts w:ascii="Arial" w:hAnsi="Arial" w:cs="Arial"/>
                <w:b/>
                <w:bCs/>
                <w:vertAlign w:val="superscript"/>
              </w:rPr>
              <w:lastRenderedPageBreak/>
              <w:t>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262" w:type="pct"/>
            <w:shd w:val="clear" w:color="auto" w:fill="auto"/>
            <w:vAlign w:val="center"/>
          </w:tcPr>
          <w:p w14:paraId="5500205A" w14:textId="77777777" w:rsidR="00614742" w:rsidRPr="00F04CA9" w:rsidRDefault="00614742"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614742" w:rsidRDefault="00614742" w:rsidP="00073752">
            <w:pPr>
              <w:rPr>
                <w:rFonts w:cs="Calibri"/>
                <w:color w:val="000000"/>
              </w:rPr>
            </w:pPr>
          </w:p>
        </w:tc>
        <w:tc>
          <w:tcPr>
            <w:tcW w:w="106" w:type="pct"/>
            <w:shd w:val="clear" w:color="auto" w:fill="auto"/>
            <w:vAlign w:val="bottom"/>
          </w:tcPr>
          <w:p w14:paraId="147CD16C" w14:textId="77777777" w:rsidR="00614742" w:rsidRDefault="00614742" w:rsidP="00073752">
            <w:pPr>
              <w:rPr>
                <w:rFonts w:cs="Calibri"/>
                <w:color w:val="000000"/>
                <w:sz w:val="16"/>
                <w:szCs w:val="16"/>
              </w:rPr>
            </w:pPr>
          </w:p>
        </w:tc>
        <w:tc>
          <w:tcPr>
            <w:tcW w:w="245" w:type="pct"/>
            <w:shd w:val="clear" w:color="auto" w:fill="auto"/>
            <w:vAlign w:val="bottom"/>
          </w:tcPr>
          <w:p w14:paraId="137ADF4D" w14:textId="77777777" w:rsidR="00614742" w:rsidRDefault="00614742" w:rsidP="00073752">
            <w:pPr>
              <w:rPr>
                <w:rFonts w:cs="Calibri"/>
                <w:color w:val="000000"/>
                <w:sz w:val="16"/>
                <w:szCs w:val="16"/>
              </w:rPr>
            </w:pPr>
          </w:p>
        </w:tc>
        <w:tc>
          <w:tcPr>
            <w:tcW w:w="230" w:type="pct"/>
            <w:shd w:val="clear" w:color="auto" w:fill="auto"/>
            <w:vAlign w:val="bottom"/>
          </w:tcPr>
          <w:p w14:paraId="6BD53B63" w14:textId="77777777" w:rsidR="00614742" w:rsidRDefault="00614742" w:rsidP="00073752">
            <w:pPr>
              <w:rPr>
                <w:rFonts w:cs="Calibri"/>
                <w:color w:val="000000"/>
                <w:sz w:val="16"/>
                <w:szCs w:val="16"/>
              </w:rPr>
            </w:pPr>
          </w:p>
        </w:tc>
        <w:tc>
          <w:tcPr>
            <w:tcW w:w="199" w:type="pct"/>
            <w:shd w:val="clear" w:color="auto" w:fill="auto"/>
            <w:vAlign w:val="bottom"/>
          </w:tcPr>
          <w:p w14:paraId="6E54462D" w14:textId="77777777" w:rsidR="00614742" w:rsidRDefault="00614742" w:rsidP="00073752">
            <w:pPr>
              <w:rPr>
                <w:rFonts w:cs="Calibri"/>
                <w:color w:val="000000"/>
                <w:sz w:val="16"/>
                <w:szCs w:val="16"/>
              </w:rPr>
            </w:pPr>
          </w:p>
        </w:tc>
        <w:tc>
          <w:tcPr>
            <w:tcW w:w="203" w:type="pct"/>
            <w:shd w:val="clear" w:color="auto" w:fill="auto"/>
            <w:vAlign w:val="center"/>
          </w:tcPr>
          <w:p w14:paraId="32152283"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614742" w:rsidRPr="00233B59" w:rsidRDefault="006147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614742" w:rsidRPr="005F17BD"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614742" w:rsidRDefault="0061474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614742" w:rsidRPr="005F17BD" w:rsidRDefault="0061474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614742" w:rsidRPr="00233B59"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614742" w:rsidRDefault="0061474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71520" w14:textId="77777777" w:rsidR="002B6E14" w:rsidRDefault="002B6E14" w:rsidP="00400881">
      <w:pPr>
        <w:spacing w:after="0" w:line="240" w:lineRule="auto"/>
      </w:pPr>
      <w:r>
        <w:separator/>
      </w:r>
    </w:p>
  </w:endnote>
  <w:endnote w:type="continuationSeparator" w:id="0">
    <w:p w14:paraId="7BACF2C2" w14:textId="77777777" w:rsidR="002B6E14" w:rsidRDefault="002B6E1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14742">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AE090" w14:textId="77777777" w:rsidR="002B6E14" w:rsidRDefault="002B6E14" w:rsidP="00400881">
      <w:pPr>
        <w:spacing w:after="0" w:line="240" w:lineRule="auto"/>
      </w:pPr>
      <w:r>
        <w:separator/>
      </w:r>
    </w:p>
  </w:footnote>
  <w:footnote w:type="continuationSeparator" w:id="0">
    <w:p w14:paraId="658DEEC4" w14:textId="77777777" w:rsidR="002B6E14" w:rsidRDefault="002B6E14"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B6E14"/>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14742"/>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B7C8A"/>
    <w:rsid w:val="007C097E"/>
    <w:rsid w:val="007C2B76"/>
    <w:rsid w:val="007C3670"/>
    <w:rsid w:val="007C4FBE"/>
    <w:rsid w:val="007C54F3"/>
    <w:rsid w:val="007D08A4"/>
    <w:rsid w:val="007D6262"/>
    <w:rsid w:val="007E0493"/>
    <w:rsid w:val="007F2565"/>
    <w:rsid w:val="007F46DD"/>
    <w:rsid w:val="007F7F21"/>
    <w:rsid w:val="00806889"/>
    <w:rsid w:val="00817292"/>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3902164">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D13B2-6281-4A04-9CC0-C7515FC0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Pages>
  <Words>35600</Words>
  <Characters>202920</Characters>
  <Application>Microsoft Office Word</Application>
  <DocSecurity>0</DocSecurity>
  <Lines>1691</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52</cp:revision>
  <cp:lastPrinted>2022-01-19T07:17:00Z</cp:lastPrinted>
  <dcterms:created xsi:type="dcterms:W3CDTF">2022-01-13T10:10:00Z</dcterms:created>
  <dcterms:modified xsi:type="dcterms:W3CDTF">2022-10-05T10:58:00Z</dcterms:modified>
</cp:coreProperties>
</file>