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(kimadia )</w:t>
      </w:r>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6D2CD7">
        <w:rPr>
          <w:i/>
          <w:iCs/>
          <w:color w:val="000000"/>
          <w:szCs w:val="24"/>
        </w:rPr>
        <w:t>immunology Materials 2023</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6D2CD7">
        <w:rPr>
          <w:rFonts w:ascii="Arial" w:hAnsi="Arial" w:cs="Arial"/>
          <w:sz w:val="32"/>
          <w:szCs w:val="32"/>
          <w:shd w:val="clear" w:color="auto" w:fill="FFFF00"/>
        </w:rPr>
        <w:t xml:space="preserve">48 </w:t>
      </w:r>
      <w:r w:rsidR="005D1C8B">
        <w:rPr>
          <w:rFonts w:ascii="Arial" w:hAnsi="Arial" w:cs="Arial"/>
          <w:sz w:val="32"/>
          <w:szCs w:val="32"/>
          <w:shd w:val="clear" w:color="auto" w:fill="FFFF00"/>
        </w:rPr>
        <w:t>B</w:t>
      </w:r>
    </w:p>
    <w:p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5D1C8B">
        <w:rPr>
          <w:rFonts w:ascii="Arial" w:hAnsi="Arial" w:cs="Arial"/>
          <w:sz w:val="32"/>
          <w:szCs w:val="32"/>
          <w:highlight w:val="yellow"/>
        </w:rPr>
        <w:t>8</w:t>
      </w:r>
      <w:proofErr w:type="gramEnd"/>
      <w:r w:rsidR="00116D04" w:rsidRPr="00116D04">
        <w:rPr>
          <w:rFonts w:ascii="Arial" w:hAnsi="Arial" w:cs="Arial"/>
          <w:sz w:val="32"/>
          <w:szCs w:val="32"/>
          <w:highlight w:val="yellow"/>
        </w:rPr>
        <w:t xml:space="preserve"> / </w:t>
      </w:r>
      <w:r w:rsidR="005D1C8B">
        <w:rPr>
          <w:rFonts w:ascii="Arial" w:hAnsi="Arial" w:cs="Arial"/>
          <w:sz w:val="32"/>
          <w:szCs w:val="32"/>
          <w:highlight w:val="yellow"/>
        </w:rPr>
        <w:t>12</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6D2CD7">
        <w:rPr>
          <w:b/>
          <w:bCs/>
          <w:sz w:val="40"/>
          <w:szCs w:val="40"/>
          <w:shd w:val="clear" w:color="auto" w:fill="FFFF00"/>
          <w:lang w:bidi="ar-EG"/>
        </w:rPr>
        <w:t>Immunology Materials</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6D2CD7">
        <w:rPr>
          <w:b/>
          <w:bCs/>
          <w:szCs w:val="24"/>
          <w:shd w:val="clear" w:color="auto" w:fill="FFFF00"/>
          <w:lang w:bidi="ar-EG"/>
        </w:rPr>
        <w:t xml:space="preserve">Lab / 2022 / 48 </w:t>
      </w:r>
      <w:r w:rsidR="005D1C8B">
        <w:rPr>
          <w:b/>
          <w:bCs/>
          <w:szCs w:val="24"/>
          <w:shd w:val="clear" w:color="auto" w:fill="FFFF00"/>
          <w:lang w:bidi="ar-EG"/>
        </w:rPr>
        <w:t>B</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6D2CD7">
        <w:rPr>
          <w:rFonts w:ascii="Arial" w:hAnsi="Arial" w:cs="Arial"/>
          <w:color w:val="FF0000"/>
          <w:szCs w:val="24"/>
          <w:shd w:val="clear" w:color="auto" w:fill="FFFF00"/>
        </w:rPr>
        <w:t xml:space="preserve">Immunology Materials </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5D1C8B">
        <w:rPr>
          <w:sz w:val="26"/>
          <w:szCs w:val="26"/>
          <w:highlight w:val="yellow"/>
        </w:rPr>
        <w:t>28</w:t>
      </w:r>
      <w:r w:rsidR="00420719" w:rsidRPr="00420719">
        <w:rPr>
          <w:sz w:val="26"/>
          <w:szCs w:val="26"/>
          <w:highlight w:val="yellow"/>
        </w:rPr>
        <w:t>/</w:t>
      </w:r>
      <w:r w:rsidR="005D1C8B">
        <w:rPr>
          <w:sz w:val="26"/>
          <w:szCs w:val="26"/>
          <w:highlight w:val="yellow"/>
        </w:rPr>
        <w:t>12</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5D1C8B">
        <w:rPr>
          <w:sz w:val="26"/>
          <w:szCs w:val="26"/>
          <w:highlight w:val="yellow"/>
        </w:rPr>
        <w:t>29</w:t>
      </w:r>
      <w:r w:rsidR="00420719" w:rsidRPr="00420719">
        <w:rPr>
          <w:sz w:val="26"/>
          <w:szCs w:val="26"/>
          <w:highlight w:val="yellow"/>
        </w:rPr>
        <w:t xml:space="preserve">/ </w:t>
      </w:r>
      <w:r w:rsidR="005D1C8B">
        <w:rPr>
          <w:sz w:val="26"/>
          <w:szCs w:val="26"/>
          <w:highlight w:val="yellow"/>
          <w:shd w:val="clear" w:color="auto" w:fill="FFFF00"/>
        </w:rPr>
        <w:t>12</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6D2CD7">
        <w:rPr>
          <w:b/>
          <w:bCs/>
          <w:i/>
          <w:sz w:val="26"/>
          <w:szCs w:val="26"/>
          <w:shd w:val="clear" w:color="auto" w:fill="FFFF00"/>
        </w:rPr>
        <w:t>3041</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6D2CD7">
        <w:rPr>
          <w:sz w:val="26"/>
          <w:szCs w:val="26"/>
          <w:shd w:val="clear" w:color="auto" w:fill="FFFF00"/>
        </w:rPr>
        <w:t>three thousand forty one dollars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Albaldawy  </w:t>
      </w:r>
      <w:r w:rsidR="00E86D25"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Pr="007D22F9">
              <w:rPr>
                <w:sz w:val="26"/>
                <w:szCs w:val="26"/>
                <w:lang w:bidi="ar-EG"/>
              </w:rPr>
              <w:t xml:space="preserve"> </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c</w:t>
            </w:r>
            <w:r w:rsidR="006108D0" w:rsidRPr="006108D0">
              <w:rPr>
                <w:szCs w:val="24"/>
                <w:lang w:bidi="ar-EG"/>
              </w:rPr>
              <w:t xml:space="preserve"> </w:t>
            </w:r>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6D2CD7">
              <w:rPr>
                <w:b/>
                <w:bCs/>
                <w:szCs w:val="24"/>
                <w:lang w:bidi="ar-EG"/>
              </w:rPr>
              <w:t>Immunology Materials</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6D2CD7">
              <w:rPr>
                <w:rFonts w:ascii="Arial" w:hAnsi="Arial" w:cs="Arial"/>
                <w:sz w:val="28"/>
                <w:szCs w:val="28"/>
                <w:highlight w:val="yellow"/>
                <w:lang w:val="en-GB"/>
              </w:rPr>
              <w:t xml:space="preserve">48 </w:t>
            </w:r>
            <w:r w:rsidR="005D1C8B">
              <w:rPr>
                <w:rFonts w:ascii="Arial" w:hAnsi="Arial" w:cs="Arial"/>
                <w:sz w:val="28"/>
                <w:szCs w:val="28"/>
                <w:highlight w:val="yellow"/>
                <w:lang w:val="en-GB"/>
              </w:rPr>
              <w:t>B</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r w:rsidR="006D2CD7">
              <w:rPr>
                <w:rFonts w:ascii="Arial" w:hAnsi="Arial" w:cs="Arial"/>
                <w:sz w:val="28"/>
                <w:szCs w:val="28"/>
                <w:lang w:val="en-GB"/>
              </w:rPr>
              <w:t xml:space="preserve">48 </w:t>
            </w:r>
            <w:proofErr w:type="gramStart"/>
            <w:r w:rsidR="005D1C8B">
              <w:rPr>
                <w:rFonts w:ascii="Arial" w:hAnsi="Arial" w:cs="Arial"/>
                <w:sz w:val="28"/>
                <w:szCs w:val="28"/>
                <w:lang w:val="en-GB"/>
              </w:rPr>
              <w:t>B</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5D1C8B">
              <w:rPr>
                <w:rFonts w:ascii="Arial" w:hAnsi="Arial" w:cs="Arial"/>
                <w:sz w:val="28"/>
                <w:szCs w:val="28"/>
                <w:highlight w:val="yellow"/>
                <w:lang w:val="en-GB"/>
              </w:rPr>
              <w:t>21</w:t>
            </w:r>
            <w:proofErr w:type="gramEnd"/>
            <w:r w:rsidRPr="00E9325E">
              <w:rPr>
                <w:rFonts w:ascii="Arial" w:hAnsi="Arial" w:cs="Arial"/>
                <w:sz w:val="28"/>
                <w:szCs w:val="28"/>
                <w:highlight w:val="yellow"/>
                <w:lang w:val="en-GB"/>
              </w:rPr>
              <w:t xml:space="preserve"> / </w:t>
            </w:r>
            <w:r w:rsidR="005D1C8B">
              <w:rPr>
                <w:rFonts w:ascii="Arial" w:hAnsi="Arial" w:cs="Arial"/>
                <w:sz w:val="28"/>
                <w:szCs w:val="28"/>
                <w:highlight w:val="yellow"/>
                <w:lang w:val="en-GB"/>
              </w:rPr>
              <w:t>12</w:t>
            </w:r>
            <w:r w:rsidRPr="00E9325E">
              <w:rPr>
                <w:rFonts w:ascii="Arial" w:hAnsi="Arial" w:cs="Arial"/>
                <w:sz w:val="28"/>
                <w:szCs w:val="28"/>
                <w:highlight w:val="yellow"/>
                <w:lang w:val="en-GB"/>
              </w:rPr>
              <w:t xml:space="preserve"> </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46876">
              <w:rPr>
                <w:rFonts w:ascii="Arial" w:hAnsi="Arial" w:cs="Arial"/>
                <w:sz w:val="28"/>
                <w:szCs w:val="28"/>
                <w:shd w:val="clear" w:color="auto" w:fill="FFFF00"/>
                <w:lang w:val="en-GB"/>
              </w:rPr>
              <w:t>28</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346876">
              <w:rPr>
                <w:rFonts w:ascii="Arial" w:hAnsi="Arial" w:cs="Arial"/>
                <w:sz w:val="28"/>
                <w:szCs w:val="28"/>
                <w:shd w:val="clear" w:color="auto" w:fill="FFFF00"/>
                <w:lang w:val="en-GB"/>
              </w:rPr>
              <w:t>12</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346876">
              <w:rPr>
                <w:rFonts w:ascii="Arial" w:hAnsi="Arial" w:cs="Arial"/>
                <w:sz w:val="28"/>
                <w:szCs w:val="28"/>
                <w:highlight w:val="yellow"/>
                <w:lang w:val="en-GB"/>
              </w:rPr>
              <w:t>25</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346876">
              <w:rPr>
                <w:rFonts w:ascii="Arial" w:hAnsi="Arial" w:cs="Arial"/>
                <w:sz w:val="28"/>
                <w:szCs w:val="28"/>
                <w:highlight w:val="yellow"/>
                <w:shd w:val="clear" w:color="auto" w:fill="FFFF00"/>
                <w:lang w:val="en-GB"/>
              </w:rPr>
              <w:t>1</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6D2CD7">
              <w:rPr>
                <w:rFonts w:ascii="Arial" w:hAnsi="Arial" w:cs="Arial"/>
                <w:sz w:val="28"/>
                <w:szCs w:val="28"/>
                <w:shd w:val="clear" w:color="auto" w:fill="FFFF00"/>
                <w:lang w:val="en-GB"/>
              </w:rPr>
              <w:t>4409450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6D2CD7">
              <w:rPr>
                <w:rFonts w:ascii="Arial" w:hAnsi="Arial" w:cs="Arial"/>
                <w:sz w:val="28"/>
                <w:szCs w:val="28"/>
                <w:shd w:val="clear" w:color="auto" w:fill="FFFF00"/>
                <w:lang w:val="en-GB"/>
              </w:rPr>
              <w:t xml:space="preserve">four millions four hundred nine thousand four hundred fifty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should mention a sole &amp;exclusive representative to deal with for all your products ,also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346876">
              <w:rPr>
                <w:szCs w:val="24"/>
                <w:shd w:val="clear" w:color="auto" w:fill="FFFF00"/>
                <w:lang w:bidi="ar-EG"/>
              </w:rPr>
              <w:t>28</w:t>
            </w:r>
            <w:r w:rsidRPr="002B1862">
              <w:rPr>
                <w:szCs w:val="24"/>
                <w:shd w:val="clear" w:color="auto" w:fill="FFFF00"/>
                <w:lang w:bidi="ar-EG"/>
              </w:rPr>
              <w:t xml:space="preserve"> / </w:t>
            </w:r>
            <w:r w:rsidR="00346876">
              <w:rPr>
                <w:szCs w:val="24"/>
                <w:shd w:val="clear" w:color="auto" w:fill="FFFF00"/>
                <w:lang w:bidi="ar-EG"/>
              </w:rPr>
              <w:t>12</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346876">
              <w:rPr>
                <w:rFonts w:ascii="Arial" w:hAnsi="Arial" w:cs="Arial"/>
                <w:sz w:val="28"/>
                <w:szCs w:val="28"/>
                <w:highlight w:val="yellow"/>
                <w:lang w:val="en-GB"/>
              </w:rPr>
              <w:t>29</w:t>
            </w:r>
            <w:r w:rsidR="002B1862" w:rsidRPr="002B1862">
              <w:rPr>
                <w:rFonts w:ascii="Arial" w:hAnsi="Arial" w:cs="Arial"/>
                <w:sz w:val="28"/>
                <w:szCs w:val="28"/>
                <w:highlight w:val="yellow"/>
                <w:lang w:val="en-GB"/>
              </w:rPr>
              <w:t xml:space="preserve"> / </w:t>
            </w:r>
            <w:r w:rsidR="00346876">
              <w:rPr>
                <w:rFonts w:ascii="Arial" w:hAnsi="Arial" w:cs="Arial"/>
                <w:sz w:val="28"/>
                <w:szCs w:val="28"/>
                <w:highlight w:val="yellow"/>
                <w:lang w:val="en-GB"/>
              </w:rPr>
              <w:t>12</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 xml:space="preserve">Date: </w:t>
      </w:r>
      <w:r w:rsidR="00682AE2">
        <w:rPr>
          <w:szCs w:val="24"/>
          <w:lang w:bidi="ar-EG"/>
        </w:rPr>
        <w:t xml:space="preserve"> </w:t>
      </w:r>
      <w:r w:rsidR="00682AE2" w:rsidRPr="008A7EF0">
        <w:rPr>
          <w:szCs w:val="24"/>
          <w:lang w:bidi="ar-EG"/>
        </w:rPr>
        <w:t>:</w:t>
      </w:r>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_____________________________________ </w:t>
      </w:r>
      <w:r>
        <w:rPr>
          <w:szCs w:val="24"/>
          <w:lang w:bidi="ar-EG"/>
        </w:rPr>
        <w:t xml:space="preserve"> </w:t>
      </w:r>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p w:rsidR="009C6C5B" w:rsidRDefault="009C6C5B" w:rsidP="002E7EC2">
      <w:pPr>
        <w:spacing w:before="120" w:after="120"/>
        <w:jc w:val="center"/>
        <w:rPr>
          <w:szCs w:val="24"/>
          <w:lang w:bidi="ar-EG"/>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1"/>
        <w:gridCol w:w="5231"/>
        <w:gridCol w:w="708"/>
        <w:gridCol w:w="1135"/>
        <w:gridCol w:w="1560"/>
      </w:tblGrid>
      <w:tr w:rsidR="006D2CD7" w:rsidTr="006D2CD7">
        <w:trPr>
          <w:trHeight w:val="405"/>
        </w:trPr>
        <w:tc>
          <w:tcPr>
            <w:tcW w:w="140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jc w:val="center"/>
              <w:rPr>
                <w:rFonts w:asciiTheme="majorBidi" w:hAnsiTheme="majorBidi" w:cstheme="majorBidi"/>
                <w:color w:val="002060"/>
                <w:szCs w:val="24"/>
              </w:rPr>
            </w:pPr>
            <w:r>
              <w:rPr>
                <w:rFonts w:asciiTheme="majorBidi" w:hAnsiTheme="majorBidi" w:cstheme="majorBidi"/>
                <w:color w:val="002060"/>
                <w:szCs w:val="24"/>
              </w:rPr>
              <w:t>55-A</w:t>
            </w:r>
          </w:p>
        </w:tc>
        <w:tc>
          <w:tcPr>
            <w:tcW w:w="522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rPr>
                <w:rFonts w:asciiTheme="majorBidi" w:hAnsiTheme="majorBidi" w:cstheme="majorBidi"/>
                <w:color w:val="002060"/>
                <w:szCs w:val="24"/>
              </w:rPr>
            </w:pPr>
            <w:r>
              <w:rPr>
                <w:rFonts w:asciiTheme="majorBidi" w:hAnsiTheme="majorBidi" w:cstheme="majorBidi"/>
                <w:color w:val="002060"/>
                <w:szCs w:val="24"/>
              </w:rPr>
              <w:t>PRODUCT FOR SRID</w:t>
            </w:r>
          </w:p>
        </w:tc>
        <w:tc>
          <w:tcPr>
            <w:tcW w:w="708"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bidi/>
              <w:jc w:val="center"/>
              <w:rPr>
                <w:rFonts w:asciiTheme="majorBidi" w:hAnsiTheme="majorBidi" w:cstheme="majorBidi"/>
                <w:color w:val="002060"/>
                <w:szCs w:val="24"/>
              </w:rPr>
            </w:pPr>
            <w:r>
              <w:rPr>
                <w:rFonts w:asciiTheme="majorBidi" w:hAnsiTheme="majorBidi" w:cstheme="majorBidi"/>
                <w:color w:val="002060"/>
                <w:szCs w:val="24"/>
                <w:rtl/>
              </w:rPr>
              <w:t>العبوة</w:t>
            </w:r>
          </w:p>
        </w:tc>
        <w:tc>
          <w:tcPr>
            <w:tcW w:w="1135"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jc w:val="center"/>
              <w:rPr>
                <w:rFonts w:asciiTheme="majorBidi" w:hAnsiTheme="majorBidi" w:cstheme="majorBidi"/>
                <w:color w:val="002060"/>
                <w:szCs w:val="24"/>
                <w:lang w:bidi="ar-IQ"/>
              </w:rPr>
            </w:pPr>
            <w:r>
              <w:rPr>
                <w:rFonts w:asciiTheme="majorBidi" w:hAnsiTheme="majorBidi" w:cstheme="majorBidi"/>
                <w:color w:val="002060"/>
                <w:szCs w:val="24"/>
                <w:rtl/>
                <w:lang w:bidi="ar-IQ"/>
              </w:rPr>
              <w:t>أحتياج عام 2023 المعدل</w:t>
            </w:r>
          </w:p>
        </w:tc>
        <w:tc>
          <w:tcPr>
            <w:tcW w:w="155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bidi/>
              <w:jc w:val="center"/>
              <w:rPr>
                <w:rFonts w:asciiTheme="majorBidi" w:hAnsiTheme="majorBidi" w:cstheme="majorBidi"/>
                <w:color w:val="002060"/>
                <w:szCs w:val="24"/>
                <w:rtl/>
                <w:lang w:bidi="ar-IQ"/>
              </w:rPr>
            </w:pPr>
            <w:r>
              <w:rPr>
                <w:rFonts w:asciiTheme="majorBidi" w:hAnsiTheme="majorBidi" w:cstheme="majorBidi"/>
                <w:color w:val="002060"/>
                <w:szCs w:val="24"/>
                <w:rtl/>
                <w:lang w:bidi="ar-IQ"/>
              </w:rPr>
              <w:t>الكلفة التخمينية بالدولار</w:t>
            </w:r>
          </w:p>
        </w:tc>
      </w:tr>
      <w:tr w:rsidR="006D2CD7" w:rsidTr="006D2CD7">
        <w:trPr>
          <w:trHeight w:val="31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tl/>
              </w:rPr>
            </w:pPr>
            <w:r>
              <w:rPr>
                <w:rFonts w:ascii="Arial" w:hAnsi="Arial" w:cs="Arial"/>
                <w:b/>
                <w:bCs/>
                <w:sz w:val="20"/>
              </w:rPr>
              <w:t>55-C00-002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human serum IgA FITC Conjugated </w:t>
            </w:r>
            <w:proofErr w:type="gramStart"/>
            <w:r>
              <w:rPr>
                <w:rFonts w:ascii="Arial" w:hAnsi="Arial" w:cs="Arial"/>
                <w:b/>
                <w:bCs/>
                <w:sz w:val="18"/>
                <w:szCs w:val="18"/>
              </w:rPr>
              <w:t>( 1</w:t>
            </w:r>
            <w:proofErr w:type="gramEnd"/>
            <w:r>
              <w:rPr>
                <w:rFonts w:ascii="Arial" w:hAnsi="Arial" w:cs="Arial"/>
                <w:b/>
                <w:bCs/>
                <w:sz w:val="18"/>
                <w:szCs w:val="18"/>
              </w:rPr>
              <w:t>ml  /vial ) con.</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8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55-C00-003</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w:t>
            </w:r>
            <w:proofErr w:type="gramStart"/>
            <w:r>
              <w:rPr>
                <w:rFonts w:ascii="Arial" w:hAnsi="Arial" w:cs="Arial"/>
                <w:b/>
                <w:bCs/>
                <w:sz w:val="18"/>
                <w:szCs w:val="18"/>
              </w:rPr>
              <w:t>human  serum</w:t>
            </w:r>
            <w:proofErr w:type="gramEnd"/>
            <w:r>
              <w:rPr>
                <w:rFonts w:ascii="Arial" w:hAnsi="Arial" w:cs="Arial"/>
                <w:b/>
                <w:bCs/>
                <w:sz w:val="18"/>
                <w:szCs w:val="18"/>
              </w:rPr>
              <w:t xml:space="preserve"> IgG FITC Conjugate ( 1ml/vial ) con.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human serum IgM FITC </w:t>
            </w:r>
            <w:proofErr w:type="gramStart"/>
            <w:r>
              <w:rPr>
                <w:rFonts w:ascii="Arial" w:hAnsi="Arial" w:cs="Arial"/>
                <w:b/>
                <w:bCs/>
                <w:sz w:val="18"/>
                <w:szCs w:val="18"/>
              </w:rPr>
              <w:t>Conjugate  (</w:t>
            </w:r>
            <w:proofErr w:type="gramEnd"/>
            <w:r>
              <w:rPr>
                <w:rFonts w:ascii="Arial" w:hAnsi="Arial" w:cs="Arial"/>
                <w:b/>
                <w:bCs/>
                <w:sz w:val="18"/>
                <w:szCs w:val="18"/>
              </w:rPr>
              <w:t xml:space="preserve"> 1ml  / vial ) con.</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8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55-C00-007</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Rat liver/ kindey-</w:t>
            </w:r>
            <w:proofErr w:type="gramStart"/>
            <w:r>
              <w:rPr>
                <w:rFonts w:ascii="Arial" w:hAnsi="Arial" w:cs="Arial"/>
                <w:b/>
                <w:bCs/>
                <w:sz w:val="18"/>
                <w:szCs w:val="18"/>
              </w:rPr>
              <w:t>stomach  (</w:t>
            </w:r>
            <w:proofErr w:type="gramEnd"/>
            <w:r>
              <w:rPr>
                <w:rFonts w:ascii="Arial" w:hAnsi="Arial" w:cs="Arial"/>
                <w:b/>
                <w:bCs/>
                <w:sz w:val="18"/>
                <w:szCs w:val="18"/>
              </w:rPr>
              <w:t xml:space="preserve">1 x8 well )  kit    (10slides)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50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55-C00-008</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proofErr w:type="gramStart"/>
            <w:r>
              <w:rPr>
                <w:rFonts w:ascii="Arial" w:hAnsi="Arial" w:cs="Arial"/>
                <w:b/>
                <w:bCs/>
                <w:sz w:val="18"/>
                <w:szCs w:val="18"/>
              </w:rPr>
              <w:t>Rat  liver</w:t>
            </w:r>
            <w:proofErr w:type="gramEnd"/>
            <w:r>
              <w:rPr>
                <w:rFonts w:ascii="Arial" w:hAnsi="Arial" w:cs="Arial"/>
                <w:b/>
                <w:bCs/>
                <w:sz w:val="18"/>
                <w:szCs w:val="18"/>
              </w:rPr>
              <w:t xml:space="preserve"> / kidney -stomach with medulla )   (1 x8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2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55-C00-009</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Rat Oesophagus (distal </w:t>
            </w:r>
            <w:proofErr w:type="gramStart"/>
            <w:r>
              <w:rPr>
                <w:rFonts w:ascii="Arial" w:hAnsi="Arial" w:cs="Arial"/>
                <w:b/>
                <w:bCs/>
                <w:sz w:val="18"/>
                <w:szCs w:val="18"/>
              </w:rPr>
              <w:t xml:space="preserve">part)   </w:t>
            </w:r>
            <w:proofErr w:type="gramEnd"/>
            <w:r>
              <w:rPr>
                <w:rFonts w:ascii="Arial" w:hAnsi="Arial" w:cs="Arial"/>
                <w:b/>
                <w:bCs/>
                <w:sz w:val="18"/>
                <w:szCs w:val="18"/>
              </w:rPr>
              <w:t xml:space="preserve">  (1 x4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25</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400</w:t>
            </w:r>
          </w:p>
        </w:tc>
      </w:tr>
      <w:tr w:rsidR="006D2CD7" w:rsidTr="006D2CD7">
        <w:trPr>
          <w:trHeight w:val="49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55-C00-010</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endomysium (Oesophagus </w:t>
            </w:r>
            <w:proofErr w:type="gramStart"/>
            <w:r>
              <w:rPr>
                <w:rFonts w:ascii="Arial" w:hAnsi="Arial" w:cs="Arial"/>
                <w:b/>
                <w:bCs/>
                <w:sz w:val="18"/>
                <w:szCs w:val="18"/>
              </w:rPr>
              <w:t>distal )</w:t>
            </w:r>
            <w:proofErr w:type="gramEnd"/>
            <w:r>
              <w:rPr>
                <w:rFonts w:ascii="Arial" w:hAnsi="Arial" w:cs="Arial"/>
                <w:b/>
                <w:bCs/>
                <w:sz w:val="18"/>
                <w:szCs w:val="18"/>
              </w:rPr>
              <w:t xml:space="preserve">   (1 x8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78</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800</w:t>
            </w:r>
          </w:p>
        </w:tc>
      </w:tr>
      <w:tr w:rsidR="006D2CD7" w:rsidTr="006D2CD7">
        <w:trPr>
          <w:trHeight w:val="32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55-C00-011</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Crithidia lucillae</w:t>
            </w:r>
            <w:proofErr w:type="gramStart"/>
            <w:r>
              <w:rPr>
                <w:rFonts w:ascii="Arial" w:hAnsi="Arial" w:cs="Arial"/>
                <w:b/>
                <w:bCs/>
                <w:sz w:val="18"/>
                <w:szCs w:val="18"/>
              </w:rPr>
              <w:t xml:space="preserve">   (</w:t>
            </w:r>
            <w:proofErr w:type="gramEnd"/>
            <w:r>
              <w:rPr>
                <w:rFonts w:ascii="Arial" w:hAnsi="Arial" w:cs="Arial"/>
                <w:b/>
                <w:bCs/>
                <w:sz w:val="18"/>
                <w:szCs w:val="18"/>
              </w:rPr>
              <w:t>1 x4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87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Oesophagus </w:t>
            </w:r>
            <w:proofErr w:type="gramStart"/>
            <w:r>
              <w:rPr>
                <w:rFonts w:ascii="Arial" w:hAnsi="Arial" w:cs="Arial"/>
                <w:b/>
                <w:bCs/>
                <w:sz w:val="18"/>
                <w:szCs w:val="18"/>
              </w:rPr>
              <w:t>( epidermis</w:t>
            </w:r>
            <w:proofErr w:type="gramEnd"/>
            <w:r>
              <w:rPr>
                <w:rFonts w:ascii="Arial" w:hAnsi="Arial" w:cs="Arial"/>
                <w:b/>
                <w:bCs/>
                <w:sz w:val="18"/>
                <w:szCs w:val="18"/>
              </w:rPr>
              <w:t xml:space="preserve"> )   (1 x8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thyroid</w:t>
            </w:r>
            <w:proofErr w:type="gramStart"/>
            <w:r>
              <w:rPr>
                <w:rFonts w:ascii="Arial" w:hAnsi="Arial" w:cs="Arial"/>
                <w:b/>
                <w:bCs/>
                <w:sz w:val="18"/>
                <w:szCs w:val="18"/>
              </w:rPr>
              <w:t xml:space="preserve">   (</w:t>
            </w:r>
            <w:proofErr w:type="gramEnd"/>
            <w:r>
              <w:rPr>
                <w:rFonts w:ascii="Arial" w:hAnsi="Arial" w:cs="Arial"/>
                <w:b/>
                <w:bCs/>
                <w:sz w:val="18"/>
                <w:szCs w:val="18"/>
              </w:rPr>
              <w:t>1 x4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500</w:t>
            </w:r>
          </w:p>
        </w:tc>
      </w:tr>
      <w:tr w:rsidR="006D2CD7" w:rsidTr="006D2CD7">
        <w:trPr>
          <w:trHeight w:val="272"/>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55-C00-019</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mouse </w:t>
            </w:r>
            <w:proofErr w:type="gramStart"/>
            <w:r>
              <w:rPr>
                <w:rFonts w:ascii="Arial" w:hAnsi="Arial" w:cs="Arial"/>
                <w:b/>
                <w:bCs/>
                <w:sz w:val="18"/>
                <w:szCs w:val="18"/>
              </w:rPr>
              <w:t>kidney  -</w:t>
            </w:r>
            <w:proofErr w:type="gramEnd"/>
            <w:r>
              <w:rPr>
                <w:rFonts w:ascii="Arial" w:hAnsi="Arial" w:cs="Arial"/>
                <w:b/>
                <w:bCs/>
                <w:sz w:val="18"/>
                <w:szCs w:val="18"/>
              </w:rPr>
              <w:t>stomach  (1 x12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28</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55-C00-020</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cerebellum with </w:t>
            </w:r>
            <w:proofErr w:type="gramStart"/>
            <w:r>
              <w:rPr>
                <w:rFonts w:ascii="Arial" w:hAnsi="Arial" w:cs="Arial"/>
                <w:b/>
                <w:bCs/>
                <w:sz w:val="18"/>
                <w:szCs w:val="18"/>
              </w:rPr>
              <w:t>intestine  (</w:t>
            </w:r>
            <w:proofErr w:type="gramEnd"/>
            <w:r>
              <w:rPr>
                <w:rFonts w:ascii="Arial" w:hAnsi="Arial" w:cs="Arial"/>
                <w:b/>
                <w:bCs/>
                <w:sz w:val="18"/>
                <w:szCs w:val="18"/>
              </w:rPr>
              <w:t>1 x4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350</w:t>
            </w:r>
          </w:p>
        </w:tc>
      </w:tr>
      <w:tr w:rsidR="006D2CD7" w:rsidTr="006D2CD7">
        <w:trPr>
          <w:trHeight w:val="25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Rat striated </w:t>
            </w:r>
            <w:proofErr w:type="gramStart"/>
            <w:r>
              <w:rPr>
                <w:rFonts w:ascii="Arial" w:hAnsi="Arial" w:cs="Arial"/>
                <w:b/>
                <w:bCs/>
                <w:sz w:val="18"/>
                <w:szCs w:val="18"/>
              </w:rPr>
              <w:t>muscle  (</w:t>
            </w:r>
            <w:proofErr w:type="gramEnd"/>
            <w:r>
              <w:rPr>
                <w:rFonts w:ascii="Arial" w:hAnsi="Arial" w:cs="Arial"/>
                <w:b/>
                <w:bCs/>
                <w:sz w:val="18"/>
                <w:szCs w:val="18"/>
              </w:rPr>
              <w:t>1 x4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1200</w:t>
            </w:r>
          </w:p>
        </w:tc>
      </w:tr>
      <w:tr w:rsidR="006D2CD7" w:rsidTr="006D2CD7">
        <w:trPr>
          <w:trHeight w:val="24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gliadin by IF (1 x4 </w:t>
            </w:r>
            <w:proofErr w:type="gramStart"/>
            <w:r>
              <w:rPr>
                <w:rFonts w:ascii="Arial" w:hAnsi="Arial" w:cs="Arial"/>
                <w:b/>
                <w:bCs/>
                <w:sz w:val="18"/>
                <w:szCs w:val="18"/>
              </w:rPr>
              <w:t>well )</w:t>
            </w:r>
            <w:proofErr w:type="gramEnd"/>
            <w:r>
              <w:rPr>
                <w:rFonts w:ascii="Arial" w:hAnsi="Arial" w:cs="Arial"/>
                <w:b/>
                <w:bCs/>
                <w:sz w:val="18"/>
                <w:szCs w:val="18"/>
              </w:rPr>
              <w:t xml:space="preserve">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26</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150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HEP2 liver/ kindey-stomach Slides </w:t>
            </w:r>
            <w:proofErr w:type="gramStart"/>
            <w:r>
              <w:rPr>
                <w:rFonts w:ascii="Arial" w:hAnsi="Arial" w:cs="Arial"/>
                <w:b/>
                <w:bCs/>
                <w:sz w:val="18"/>
                <w:szCs w:val="18"/>
              </w:rPr>
              <w:t>( 12</w:t>
            </w:r>
            <w:proofErr w:type="gramEnd"/>
            <w:r>
              <w:rPr>
                <w:rFonts w:ascii="Arial" w:hAnsi="Arial" w:cs="Arial"/>
                <w:b/>
                <w:bCs/>
                <w:sz w:val="18"/>
                <w:szCs w:val="18"/>
              </w:rPr>
              <w:t>wells)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46</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30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55-C00-033</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HEP2 liver/ kindey-</w:t>
            </w:r>
            <w:proofErr w:type="gramStart"/>
            <w:r>
              <w:rPr>
                <w:rFonts w:ascii="Arial" w:hAnsi="Arial" w:cs="Arial"/>
                <w:b/>
                <w:bCs/>
                <w:sz w:val="18"/>
                <w:szCs w:val="18"/>
              </w:rPr>
              <w:t>stomach  Slides</w:t>
            </w:r>
            <w:proofErr w:type="gramEnd"/>
            <w:r>
              <w:rPr>
                <w:rFonts w:ascii="Arial" w:hAnsi="Arial" w:cs="Arial"/>
                <w:b/>
                <w:bCs/>
                <w:sz w:val="18"/>
                <w:szCs w:val="18"/>
              </w:rPr>
              <w:t>( 6 wells)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92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250</w:t>
            </w:r>
          </w:p>
        </w:tc>
      </w:tr>
      <w:tr w:rsidR="006D2CD7" w:rsidTr="006D2CD7">
        <w:trPr>
          <w:trHeight w:val="26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Positive homogeneus Pattern control </w:t>
            </w:r>
            <w:proofErr w:type="gramStart"/>
            <w:r>
              <w:rPr>
                <w:rFonts w:ascii="Arial" w:hAnsi="Arial" w:cs="Arial"/>
                <w:b/>
                <w:bCs/>
                <w:sz w:val="18"/>
                <w:szCs w:val="18"/>
              </w:rPr>
              <w:t>( 0</w:t>
            </w:r>
            <w:proofErr w:type="gramEnd"/>
            <w:r>
              <w:rPr>
                <w:rFonts w:ascii="Arial" w:hAnsi="Arial" w:cs="Arial"/>
                <w:b/>
                <w:bCs/>
                <w:sz w:val="18"/>
                <w:szCs w:val="18"/>
              </w:rPr>
              <w:t>.5ml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7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55-C00-035</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Positive speckled pattern </w:t>
            </w:r>
            <w:proofErr w:type="gramStart"/>
            <w:r>
              <w:rPr>
                <w:rFonts w:ascii="Arial" w:hAnsi="Arial" w:cs="Arial"/>
                <w:b/>
                <w:bCs/>
                <w:sz w:val="18"/>
                <w:szCs w:val="18"/>
              </w:rPr>
              <w:t>control  (</w:t>
            </w:r>
            <w:proofErr w:type="gramEnd"/>
            <w:r>
              <w:rPr>
                <w:rFonts w:ascii="Arial" w:hAnsi="Arial" w:cs="Arial"/>
                <w:b/>
                <w:bCs/>
                <w:sz w:val="18"/>
                <w:szCs w:val="18"/>
              </w:rPr>
              <w:t xml:space="preserve">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55-C00-036</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proofErr w:type="gramStart"/>
            <w:r>
              <w:rPr>
                <w:rFonts w:ascii="Arial" w:hAnsi="Arial" w:cs="Arial"/>
                <w:b/>
                <w:bCs/>
                <w:sz w:val="18"/>
                <w:szCs w:val="18"/>
              </w:rPr>
              <w:t>anti  Nucleolar</w:t>
            </w:r>
            <w:proofErr w:type="gramEnd"/>
            <w:r>
              <w:rPr>
                <w:rFonts w:ascii="Arial" w:hAnsi="Arial" w:cs="Arial"/>
                <w:b/>
                <w:bCs/>
                <w:sz w:val="18"/>
                <w:szCs w:val="18"/>
              </w:rPr>
              <w:t xml:space="preserve"> postive Control             ( 0.5ml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72"/>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55-C00-037</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Anti Centomere </w:t>
            </w:r>
            <w:proofErr w:type="gramStart"/>
            <w:r>
              <w:rPr>
                <w:rFonts w:ascii="Arial" w:hAnsi="Arial" w:cs="Arial"/>
                <w:b/>
                <w:bCs/>
                <w:sz w:val="18"/>
                <w:szCs w:val="18"/>
              </w:rPr>
              <w:t>postive  Control</w:t>
            </w:r>
            <w:proofErr w:type="gramEnd"/>
            <w:r>
              <w:rPr>
                <w:rFonts w:ascii="Arial" w:hAnsi="Arial" w:cs="Arial"/>
                <w:b/>
                <w:bCs/>
                <w:sz w:val="18"/>
                <w:szCs w:val="18"/>
              </w:rPr>
              <w:t xml:space="preserve">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6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55-C00-038</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Parietal cell postive Control   </w:t>
            </w:r>
            <w:proofErr w:type="gramStart"/>
            <w:r>
              <w:rPr>
                <w:rFonts w:ascii="Arial" w:hAnsi="Arial" w:cs="Arial"/>
                <w:b/>
                <w:bCs/>
                <w:sz w:val="18"/>
                <w:szCs w:val="18"/>
              </w:rPr>
              <w:t xml:space="preserve">   (</w:t>
            </w:r>
            <w:proofErr w:type="gramEnd"/>
            <w:r>
              <w:rPr>
                <w:rFonts w:ascii="Arial" w:hAnsi="Arial" w:cs="Arial"/>
                <w:b/>
                <w:bCs/>
                <w:sz w:val="18"/>
                <w:szCs w:val="18"/>
              </w:rPr>
              <w:t xml:space="preserve">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2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55-C00-039</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Smooth Muscle Pattern postive Control   </w:t>
            </w:r>
            <w:proofErr w:type="gramStart"/>
            <w:r>
              <w:rPr>
                <w:rFonts w:ascii="Arial" w:hAnsi="Arial" w:cs="Arial"/>
                <w:b/>
                <w:bCs/>
                <w:sz w:val="18"/>
                <w:szCs w:val="18"/>
              </w:rPr>
              <w:t xml:space="preserve">   (</w:t>
            </w:r>
            <w:proofErr w:type="gramEnd"/>
            <w:r>
              <w:rPr>
                <w:rFonts w:ascii="Arial" w:hAnsi="Arial" w:cs="Arial"/>
                <w:b/>
                <w:bCs/>
                <w:sz w:val="18"/>
                <w:szCs w:val="18"/>
              </w:rPr>
              <w:t xml:space="preserve">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55-C00-040</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Monkey Kidney </w:t>
            </w:r>
            <w:proofErr w:type="gramStart"/>
            <w:r>
              <w:rPr>
                <w:rFonts w:ascii="Arial" w:hAnsi="Arial" w:cs="Arial"/>
                <w:b/>
                <w:bCs/>
                <w:sz w:val="18"/>
                <w:szCs w:val="18"/>
              </w:rPr>
              <w:t>stomach ,</w:t>
            </w:r>
            <w:proofErr w:type="gramEnd"/>
            <w:r>
              <w:rPr>
                <w:rFonts w:ascii="Arial" w:hAnsi="Arial" w:cs="Arial"/>
                <w:b/>
                <w:bCs/>
                <w:sz w:val="18"/>
                <w:szCs w:val="18"/>
              </w:rPr>
              <w:t xml:space="preserve"> liver slides(1 x 4  wells )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33</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55-C00-041</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Monkey Kidney stomach, liver slides (1 x 8 </w:t>
            </w:r>
            <w:proofErr w:type="gramStart"/>
            <w:r>
              <w:rPr>
                <w:rFonts w:ascii="Arial" w:hAnsi="Arial" w:cs="Arial"/>
                <w:b/>
                <w:bCs/>
                <w:sz w:val="18"/>
                <w:szCs w:val="18"/>
              </w:rPr>
              <w:t>wells )</w:t>
            </w:r>
            <w:proofErr w:type="gramEnd"/>
            <w:r>
              <w:rPr>
                <w:rFonts w:ascii="Arial" w:hAnsi="Arial" w:cs="Arial"/>
                <w:b/>
                <w:bCs/>
                <w:sz w:val="18"/>
                <w:szCs w:val="18"/>
              </w:rPr>
              <w:t xml:space="preserve">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18</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750</w:t>
            </w:r>
          </w:p>
        </w:tc>
      </w:tr>
      <w:tr w:rsidR="006D2CD7" w:rsidTr="006D2CD7">
        <w:trPr>
          <w:trHeight w:val="26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Stomach / Kidney (1x 8 </w:t>
            </w:r>
            <w:proofErr w:type="gramStart"/>
            <w:r>
              <w:rPr>
                <w:rFonts w:ascii="Arial" w:hAnsi="Arial" w:cs="Arial"/>
                <w:b/>
                <w:bCs/>
                <w:sz w:val="18"/>
                <w:szCs w:val="18"/>
              </w:rPr>
              <w:t>wells )</w:t>
            </w:r>
            <w:proofErr w:type="gramEnd"/>
            <w:r>
              <w:rPr>
                <w:rFonts w:ascii="Arial" w:hAnsi="Arial" w:cs="Arial"/>
                <w:b/>
                <w:bCs/>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750</w:t>
            </w:r>
          </w:p>
        </w:tc>
      </w:tr>
      <w:tr w:rsidR="006D2CD7" w:rsidTr="006D2CD7">
        <w:trPr>
          <w:trHeight w:val="28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ovary (1 x </w:t>
            </w:r>
            <w:proofErr w:type="gramStart"/>
            <w:r>
              <w:rPr>
                <w:rFonts w:ascii="Arial" w:hAnsi="Arial" w:cs="Arial"/>
                <w:b/>
                <w:bCs/>
                <w:sz w:val="18"/>
                <w:szCs w:val="18"/>
              </w:rPr>
              <w:t>4  wells</w:t>
            </w:r>
            <w:proofErr w:type="gramEnd"/>
            <w:r>
              <w:rPr>
                <w:rFonts w:ascii="Arial" w:hAnsi="Arial" w:cs="Arial"/>
                <w:b/>
                <w:bCs/>
                <w:sz w:val="18"/>
                <w:szCs w:val="18"/>
              </w:rPr>
              <w:t xml:space="preserve"> )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6D2CD7">
        <w:trPr>
          <w:trHeight w:val="23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55-C00-045</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w:t>
            </w:r>
            <w:proofErr w:type="gramStart"/>
            <w:r>
              <w:rPr>
                <w:rFonts w:ascii="Arial" w:hAnsi="Arial" w:cs="Arial"/>
                <w:b/>
                <w:bCs/>
                <w:sz w:val="18"/>
                <w:szCs w:val="18"/>
              </w:rPr>
              <w:t>pancreas(</w:t>
            </w:r>
            <w:proofErr w:type="gramEnd"/>
            <w:r>
              <w:rPr>
                <w:rFonts w:ascii="Arial" w:hAnsi="Arial" w:cs="Arial"/>
                <w:b/>
                <w:bCs/>
                <w:sz w:val="18"/>
                <w:szCs w:val="18"/>
              </w:rPr>
              <w:t>1 x 4  wells )    kit (10slied)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350</w:t>
            </w:r>
          </w:p>
        </w:tc>
      </w:tr>
      <w:tr w:rsidR="006D2CD7" w:rsidTr="006D2CD7">
        <w:trPr>
          <w:trHeight w:val="37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55-C00-050</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basal </w:t>
            </w:r>
            <w:proofErr w:type="gramStart"/>
            <w:r>
              <w:rPr>
                <w:rFonts w:ascii="Arial" w:hAnsi="Arial" w:cs="Arial"/>
                <w:b/>
                <w:bCs/>
                <w:sz w:val="18"/>
                <w:szCs w:val="18"/>
              </w:rPr>
              <w:t>membrane  postive</w:t>
            </w:r>
            <w:proofErr w:type="gramEnd"/>
            <w:r>
              <w:rPr>
                <w:rFonts w:ascii="Arial" w:hAnsi="Arial" w:cs="Arial"/>
                <w:b/>
                <w:bCs/>
                <w:sz w:val="18"/>
                <w:szCs w:val="18"/>
              </w:rPr>
              <w:t xml:space="preserve"> control (0.5ml/ vial)-monkey absorbed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6</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55-C00-052</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islet cell postive control </w:t>
            </w:r>
            <w:proofErr w:type="gramStart"/>
            <w:r>
              <w:rPr>
                <w:rFonts w:ascii="Arial" w:hAnsi="Arial" w:cs="Arial"/>
                <w:b/>
                <w:bCs/>
                <w:sz w:val="18"/>
                <w:szCs w:val="18"/>
              </w:rPr>
              <w:t>( 0.5</w:t>
            </w:r>
            <w:proofErr w:type="gramEnd"/>
            <w:r>
              <w:rPr>
                <w:rFonts w:ascii="Arial" w:hAnsi="Arial" w:cs="Arial"/>
                <w:b/>
                <w:bCs/>
                <w:sz w:val="18"/>
                <w:szCs w:val="18"/>
              </w:rPr>
              <w:t xml:space="preserve"> ml/ vial)-monkey absorbed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55-C00-053</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Ovary postive control </w:t>
            </w:r>
            <w:proofErr w:type="gramStart"/>
            <w:r>
              <w:rPr>
                <w:rFonts w:ascii="Arial" w:hAnsi="Arial" w:cs="Arial"/>
                <w:b/>
                <w:bCs/>
                <w:sz w:val="18"/>
                <w:szCs w:val="18"/>
              </w:rPr>
              <w:t>(  0.5</w:t>
            </w:r>
            <w:proofErr w:type="gramEnd"/>
            <w:r>
              <w:rPr>
                <w:rFonts w:ascii="Arial" w:hAnsi="Arial" w:cs="Arial"/>
                <w:b/>
                <w:bCs/>
                <w:sz w:val="18"/>
                <w:szCs w:val="18"/>
              </w:rPr>
              <w:t xml:space="preserve"> ml /vial)-monkey absorbed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6D2CD7">
        <w:trPr>
          <w:trHeight w:val="32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lastRenderedPageBreak/>
              <w:t>55-C00-054</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reticullin postive control   </w:t>
            </w:r>
            <w:proofErr w:type="gramStart"/>
            <w:r>
              <w:rPr>
                <w:rFonts w:ascii="Arial" w:hAnsi="Arial" w:cs="Arial"/>
                <w:b/>
                <w:bCs/>
                <w:sz w:val="18"/>
                <w:szCs w:val="18"/>
              </w:rPr>
              <w:t xml:space="preserve">   (</w:t>
            </w:r>
            <w:proofErr w:type="gramEnd"/>
            <w:r>
              <w:rPr>
                <w:rFonts w:ascii="Arial" w:hAnsi="Arial" w:cs="Arial"/>
                <w:b/>
                <w:bCs/>
                <w:sz w:val="18"/>
                <w:szCs w:val="18"/>
              </w:rPr>
              <w:t>0.5ml/ vial)-monkey absorbed</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6D2CD7">
        <w:trPr>
          <w:trHeight w:val="3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55-C00-055</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Thyroglobulin postive control </w:t>
            </w:r>
            <w:proofErr w:type="gramStart"/>
            <w:r>
              <w:rPr>
                <w:rFonts w:ascii="Arial" w:hAnsi="Arial" w:cs="Arial"/>
                <w:b/>
                <w:bCs/>
                <w:sz w:val="18"/>
                <w:szCs w:val="18"/>
              </w:rPr>
              <w:t xml:space="preserve">   (</w:t>
            </w:r>
            <w:proofErr w:type="gramEnd"/>
            <w:r>
              <w:rPr>
                <w:rFonts w:ascii="Arial" w:hAnsi="Arial" w:cs="Arial"/>
                <w:b/>
                <w:bCs/>
                <w:sz w:val="18"/>
                <w:szCs w:val="18"/>
              </w:rPr>
              <w:t xml:space="preserve"> 0.5ml/ vial)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6D2CD7">
        <w:trPr>
          <w:trHeight w:val="49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55-C00-056</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Human granulocyte for ANCA</w:t>
            </w:r>
            <w:proofErr w:type="gramStart"/>
            <w:r>
              <w:rPr>
                <w:rFonts w:ascii="Arial" w:hAnsi="Arial" w:cs="Arial"/>
                <w:b/>
                <w:bCs/>
                <w:sz w:val="18"/>
                <w:szCs w:val="18"/>
              </w:rPr>
              <w:t xml:space="preserve">   (</w:t>
            </w:r>
            <w:proofErr w:type="gramEnd"/>
            <w:r>
              <w:rPr>
                <w:rFonts w:ascii="Arial" w:hAnsi="Arial" w:cs="Arial"/>
                <w:b/>
                <w:bCs/>
                <w:sz w:val="18"/>
                <w:szCs w:val="18"/>
              </w:rPr>
              <w:t>1 x10 well ) kit(10slides)  (Ethanol)</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D2CD7" w:rsidRDefault="006D2CD7">
            <w:pPr>
              <w:rPr>
                <w:rFonts w:asciiTheme="majorBidi" w:hAnsiTheme="majorBidi" w:cstheme="majorBidi"/>
                <w:szCs w:val="24"/>
              </w:rPr>
            </w:pPr>
            <w:r>
              <w:rPr>
                <w:rFonts w:asciiTheme="majorBidi" w:hAnsiTheme="majorBidi" w:cstheme="majorBidi"/>
                <w:szCs w:val="24"/>
              </w:rPr>
              <w:t>200$/10s/6w</w:t>
            </w:r>
          </w:p>
        </w:tc>
      </w:tr>
      <w:tr w:rsidR="006D2CD7" w:rsidTr="006D2CD7">
        <w:trPr>
          <w:trHeight w:val="52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55-C00-057</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Human granulocyte for ANCA</w:t>
            </w:r>
            <w:proofErr w:type="gramStart"/>
            <w:r>
              <w:rPr>
                <w:rFonts w:ascii="Arial" w:hAnsi="Arial" w:cs="Arial"/>
                <w:b/>
                <w:bCs/>
                <w:sz w:val="18"/>
                <w:szCs w:val="18"/>
              </w:rPr>
              <w:t xml:space="preserve">   (</w:t>
            </w:r>
            <w:proofErr w:type="gramEnd"/>
            <w:r>
              <w:rPr>
                <w:rFonts w:ascii="Arial" w:hAnsi="Arial" w:cs="Arial"/>
                <w:b/>
                <w:bCs/>
                <w:sz w:val="18"/>
                <w:szCs w:val="18"/>
              </w:rPr>
              <w:t>1 x10 well ) kit(10slides)  (formalin)</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D2CD7" w:rsidRDefault="006D2CD7">
            <w:pPr>
              <w:rPr>
                <w:rFonts w:asciiTheme="majorBidi" w:hAnsiTheme="majorBidi" w:cstheme="majorBidi"/>
                <w:szCs w:val="24"/>
              </w:rPr>
            </w:pPr>
            <w:r>
              <w:rPr>
                <w:rFonts w:asciiTheme="majorBidi" w:hAnsiTheme="majorBidi" w:cstheme="majorBidi"/>
                <w:szCs w:val="24"/>
              </w:rPr>
              <w:t>200$/10s/6w</w:t>
            </w:r>
          </w:p>
        </w:tc>
      </w:tr>
      <w:tr w:rsidR="006D2CD7" w:rsidTr="006D2CD7">
        <w:trPr>
          <w:trHeight w:val="3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55-C00-058</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Monkey </w:t>
            </w:r>
            <w:proofErr w:type="gramStart"/>
            <w:r>
              <w:rPr>
                <w:rFonts w:ascii="Arial" w:hAnsi="Arial" w:cs="Arial"/>
                <w:b/>
                <w:bCs/>
                <w:sz w:val="18"/>
                <w:szCs w:val="18"/>
              </w:rPr>
              <w:t>kidney  -</w:t>
            </w:r>
            <w:proofErr w:type="gramEnd"/>
            <w:r>
              <w:rPr>
                <w:rFonts w:ascii="Arial" w:hAnsi="Arial" w:cs="Arial"/>
                <w:b/>
                <w:bCs/>
                <w:sz w:val="18"/>
                <w:szCs w:val="18"/>
              </w:rPr>
              <w:t>stomach   with medulla(1 x10 well )  kit(10slides)</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250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rPr>
                <w:rFonts w:ascii="Arial" w:hAnsi="Arial" w:cs="Arial"/>
                <w:b/>
                <w:bCs/>
                <w:color w:val="002060"/>
                <w:sz w:val="20"/>
              </w:rPr>
            </w:pPr>
            <w:r>
              <w:rPr>
                <w:rFonts w:ascii="Arial" w:hAnsi="Arial" w:cs="Arial"/>
                <w:b/>
                <w:bCs/>
                <w:color w:val="002060"/>
                <w:sz w:val="20"/>
              </w:rPr>
              <w:t>55-D</w:t>
            </w:r>
          </w:p>
        </w:tc>
        <w:tc>
          <w:tcPr>
            <w:tcW w:w="5229"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rFonts w:ascii="Arial" w:hAnsi="Arial" w:cs="Arial"/>
                <w:b/>
                <w:bCs/>
                <w:color w:val="002060"/>
                <w:szCs w:val="24"/>
              </w:rPr>
            </w:pPr>
            <w:r>
              <w:rPr>
                <w:rFonts w:ascii="Arial" w:hAnsi="Arial" w:cs="Arial"/>
                <w:b/>
                <w:bCs/>
                <w:color w:val="002060"/>
                <w:szCs w:val="24"/>
              </w:rPr>
              <w:t xml:space="preserve">product for enzyme immuno </w:t>
            </w:r>
            <w:proofErr w:type="gramStart"/>
            <w:r>
              <w:rPr>
                <w:rFonts w:ascii="Arial" w:hAnsi="Arial" w:cs="Arial"/>
                <w:b/>
                <w:bCs/>
                <w:color w:val="002060"/>
                <w:szCs w:val="24"/>
              </w:rPr>
              <w:t>assay(</w:t>
            </w:r>
            <w:proofErr w:type="gramEnd"/>
            <w:r>
              <w:rPr>
                <w:rFonts w:ascii="Arial" w:hAnsi="Arial" w:cs="Arial"/>
                <w:b/>
                <w:bCs/>
                <w:color w:val="002060"/>
                <w:szCs w:val="24"/>
              </w:rPr>
              <w:t>EIA)</w:t>
            </w:r>
          </w:p>
        </w:tc>
        <w:tc>
          <w:tcPr>
            <w:tcW w:w="708"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rFonts w:ascii="Arial" w:hAnsi="Arial" w:cs="Arial"/>
                <w:b/>
                <w:bCs/>
                <w:color w:val="002060"/>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sz w:val="20"/>
                <w:lang w:val="en-CA" w:eastAsia="en-CA"/>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6D2CD7" w:rsidRDefault="006D2CD7">
            <w:pPr>
              <w:jc w:val="center"/>
              <w:rPr>
                <w:rFonts w:asciiTheme="majorBidi" w:hAnsiTheme="majorBidi" w:cstheme="majorBidi"/>
                <w:color w:val="002060"/>
                <w:szCs w:val="24"/>
              </w:rPr>
            </w:pPr>
          </w:p>
        </w:tc>
      </w:tr>
      <w:tr w:rsidR="006D2CD7" w:rsidTr="006D2CD7">
        <w:trPr>
          <w:trHeight w:val="19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55-D00-078</w:t>
            </w:r>
          </w:p>
        </w:tc>
        <w:tc>
          <w:tcPr>
            <w:tcW w:w="522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ENA profile Kit (1x96</w:t>
            </w:r>
            <w:proofErr w:type="gramStart"/>
            <w:r>
              <w:rPr>
                <w:rFonts w:ascii="Arial" w:hAnsi="Arial" w:cs="Arial"/>
                <w:b/>
                <w:bCs/>
                <w:sz w:val="18"/>
                <w:szCs w:val="18"/>
              </w:rPr>
              <w:t>test )</w:t>
            </w:r>
            <w:proofErr w:type="gramEnd"/>
            <w:r>
              <w:rPr>
                <w:rFonts w:ascii="Arial" w:hAnsi="Arial" w:cs="Arial"/>
                <w:b/>
                <w:bCs/>
                <w:sz w:val="18"/>
                <w:szCs w:val="18"/>
              </w:rPr>
              <w:t xml:space="preserve"> by EIA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74</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200</w:t>
            </w: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2CD7" w:rsidRDefault="006D2CD7">
            <w:pPr>
              <w:rPr>
                <w:rFonts w:ascii="Arial" w:hAnsi="Arial" w:cs="Arial"/>
                <w:b/>
                <w:bCs/>
                <w:color w:val="002060"/>
                <w:sz w:val="20"/>
              </w:rPr>
            </w:pPr>
            <w:r>
              <w:rPr>
                <w:rFonts w:ascii="Arial" w:hAnsi="Arial" w:cs="Arial"/>
                <w:b/>
                <w:bCs/>
                <w:color w:val="002060"/>
                <w:sz w:val="20"/>
              </w:rPr>
              <w:t>55-EV</w:t>
            </w:r>
          </w:p>
        </w:tc>
        <w:tc>
          <w:tcPr>
            <w:tcW w:w="52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D2CD7" w:rsidRDefault="006D2CD7">
            <w:pPr>
              <w:rPr>
                <w:rFonts w:ascii="Arial" w:hAnsi="Arial" w:cs="Arial"/>
                <w:b/>
                <w:bCs/>
                <w:color w:val="002060"/>
                <w:szCs w:val="24"/>
              </w:rPr>
            </w:pPr>
            <w:r>
              <w:rPr>
                <w:rFonts w:ascii="Arial" w:hAnsi="Arial" w:cs="Arial"/>
                <w:b/>
                <w:bCs/>
                <w:color w:val="002060"/>
                <w:szCs w:val="24"/>
              </w:rPr>
              <w:t>product for specific IgE: Allergens (Trees)</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b/>
                <w:bCs/>
                <w:color w:val="002060"/>
                <w:sz w:val="16"/>
                <w:szCs w:val="16"/>
              </w:rPr>
            </w:pPr>
          </w:p>
        </w:tc>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color w:val="002060"/>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color w:val="002060"/>
                <w:szCs w:val="24"/>
              </w:rPr>
            </w:pPr>
          </w:p>
        </w:tc>
      </w:tr>
      <w:tr w:rsidR="006D2CD7" w:rsidTr="006D2CD7">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D2CD7" w:rsidRDefault="006D2CD7">
            <w:pPr>
              <w:rPr>
                <w:rFonts w:ascii="Arial" w:hAnsi="Arial" w:cs="Arial"/>
                <w:b/>
                <w:bCs/>
                <w:sz w:val="20"/>
              </w:rPr>
            </w:pPr>
            <w:r>
              <w:rPr>
                <w:rFonts w:ascii="Arial" w:hAnsi="Arial" w:cs="Arial"/>
                <w:b/>
                <w:bCs/>
                <w:sz w:val="20"/>
              </w:rPr>
              <w:t>55-EV0-037</w:t>
            </w:r>
          </w:p>
        </w:tc>
        <w:tc>
          <w:tcPr>
            <w:tcW w:w="522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rPr>
                <w:rFonts w:ascii="Arial" w:hAnsi="Arial" w:cs="Arial"/>
                <w:b/>
                <w:bCs/>
                <w:sz w:val="18"/>
                <w:szCs w:val="18"/>
              </w:rPr>
            </w:pPr>
            <w:r>
              <w:rPr>
                <w:rFonts w:ascii="Arial" w:hAnsi="Arial" w:cs="Arial"/>
                <w:b/>
                <w:bCs/>
                <w:sz w:val="18"/>
                <w:szCs w:val="18"/>
              </w:rPr>
              <w:t>Total IgE (Chemiluminescence or fluorescence immunoassay)</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Arial" w:hAnsi="Arial" w:cs="Arial"/>
                <w:szCs w:val="24"/>
              </w:rPr>
            </w:pPr>
            <w:r>
              <w:rPr>
                <w:rFonts w:ascii="Arial" w:hAnsi="Arial" w:cs="Arial"/>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bl>
    <w:p w:rsidR="002E7EC2" w:rsidRDefault="002E7EC2" w:rsidP="006D2CD7">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Pr="00915605">
              <w:rPr>
                <w:rFonts w:ascii="Arial" w:hAnsi="Arial" w:hint="cs"/>
                <w:sz w:val="28"/>
                <w:szCs w:val="28"/>
                <w:rtl/>
                <w:lang w:val="en-GB"/>
              </w:rPr>
              <w:t xml:space="preserve"> </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6365" w:rsidRDefault="00466365" w:rsidP="00024794">
      <w:r>
        <w:separator/>
      </w:r>
    </w:p>
  </w:endnote>
  <w:endnote w:type="continuationSeparator" w:id="0">
    <w:p w:rsidR="00466365" w:rsidRDefault="00466365"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6365" w:rsidRDefault="00466365" w:rsidP="00024794">
      <w:r>
        <w:separator/>
      </w:r>
    </w:p>
  </w:footnote>
  <w:footnote w:type="continuationSeparator" w:id="0">
    <w:p w:rsidR="00466365" w:rsidRDefault="00466365"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306214">
    <w:abstractNumId w:val="9"/>
  </w:num>
  <w:num w:numId="2" w16cid:durableId="398670658">
    <w:abstractNumId w:val="7"/>
  </w:num>
  <w:num w:numId="3" w16cid:durableId="89161407">
    <w:abstractNumId w:val="6"/>
  </w:num>
  <w:num w:numId="4" w16cid:durableId="719397836">
    <w:abstractNumId w:val="5"/>
  </w:num>
  <w:num w:numId="5" w16cid:durableId="95028659">
    <w:abstractNumId w:val="4"/>
  </w:num>
  <w:num w:numId="6" w16cid:durableId="1663898138">
    <w:abstractNumId w:val="8"/>
  </w:num>
  <w:num w:numId="7" w16cid:durableId="889805326">
    <w:abstractNumId w:val="3"/>
  </w:num>
  <w:num w:numId="8" w16cid:durableId="207112428">
    <w:abstractNumId w:val="2"/>
  </w:num>
  <w:num w:numId="9" w16cid:durableId="1195074222">
    <w:abstractNumId w:val="1"/>
  </w:num>
  <w:num w:numId="10" w16cid:durableId="2060780783">
    <w:abstractNumId w:val="0"/>
  </w:num>
  <w:num w:numId="11" w16cid:durableId="1769501181">
    <w:abstractNumId w:val="56"/>
  </w:num>
  <w:num w:numId="12" w16cid:durableId="1024213107">
    <w:abstractNumId w:val="101"/>
  </w:num>
  <w:num w:numId="13" w16cid:durableId="1331176836">
    <w:abstractNumId w:val="30"/>
  </w:num>
  <w:num w:numId="14" w16cid:durableId="2059697990">
    <w:abstractNumId w:val="35"/>
  </w:num>
  <w:num w:numId="15" w16cid:durableId="67272024">
    <w:abstractNumId w:val="65"/>
  </w:num>
  <w:num w:numId="16" w16cid:durableId="2029678143">
    <w:abstractNumId w:val="54"/>
  </w:num>
  <w:num w:numId="17" w16cid:durableId="622152937">
    <w:abstractNumId w:val="82"/>
  </w:num>
  <w:num w:numId="18" w16cid:durableId="956644347">
    <w:abstractNumId w:val="31"/>
  </w:num>
  <w:num w:numId="19" w16cid:durableId="1195652038">
    <w:abstractNumId w:val="10"/>
  </w:num>
  <w:num w:numId="20" w16cid:durableId="1965039263">
    <w:abstractNumId w:val="81"/>
  </w:num>
  <w:num w:numId="21" w16cid:durableId="1787581131">
    <w:abstractNumId w:val="63"/>
  </w:num>
  <w:num w:numId="22" w16cid:durableId="1854686538">
    <w:abstractNumId w:val="68"/>
  </w:num>
  <w:num w:numId="23" w16cid:durableId="1670525290">
    <w:abstractNumId w:val="23"/>
  </w:num>
  <w:num w:numId="24" w16cid:durableId="1648512858">
    <w:abstractNumId w:val="100"/>
  </w:num>
  <w:num w:numId="25" w16cid:durableId="1772124845">
    <w:abstractNumId w:val="44"/>
  </w:num>
  <w:num w:numId="26" w16cid:durableId="466316873">
    <w:abstractNumId w:val="16"/>
  </w:num>
  <w:num w:numId="27" w16cid:durableId="957105840">
    <w:abstractNumId w:val="87"/>
  </w:num>
  <w:num w:numId="28" w16cid:durableId="257638902">
    <w:abstractNumId w:val="67"/>
  </w:num>
  <w:num w:numId="29" w16cid:durableId="844324890">
    <w:abstractNumId w:val="27"/>
  </w:num>
  <w:num w:numId="30" w16cid:durableId="560596610">
    <w:abstractNumId w:val="77"/>
  </w:num>
  <w:num w:numId="31" w16cid:durableId="1714384470">
    <w:abstractNumId w:val="14"/>
  </w:num>
  <w:num w:numId="32" w16cid:durableId="594825057">
    <w:abstractNumId w:val="57"/>
  </w:num>
  <w:num w:numId="33" w16cid:durableId="8024094">
    <w:abstractNumId w:val="42"/>
  </w:num>
  <w:num w:numId="34" w16cid:durableId="2057703538">
    <w:abstractNumId w:val="17"/>
  </w:num>
  <w:num w:numId="35" w16cid:durableId="349451873">
    <w:abstractNumId w:val="69"/>
  </w:num>
  <w:num w:numId="36" w16cid:durableId="1385835109">
    <w:abstractNumId w:val="60"/>
  </w:num>
  <w:num w:numId="37" w16cid:durableId="403642993">
    <w:abstractNumId w:val="98"/>
  </w:num>
  <w:num w:numId="38" w16cid:durableId="375204285">
    <w:abstractNumId w:val="75"/>
  </w:num>
  <w:num w:numId="39" w16cid:durableId="1880584569">
    <w:abstractNumId w:val="72"/>
  </w:num>
  <w:num w:numId="40" w16cid:durableId="2084330482">
    <w:abstractNumId w:val="19"/>
  </w:num>
  <w:num w:numId="41" w16cid:durableId="525291703">
    <w:abstractNumId w:val="96"/>
  </w:num>
  <w:num w:numId="42" w16cid:durableId="1412699246">
    <w:abstractNumId w:val="38"/>
  </w:num>
  <w:num w:numId="43" w16cid:durableId="1714839709">
    <w:abstractNumId w:val="90"/>
  </w:num>
  <w:num w:numId="44" w16cid:durableId="837496478">
    <w:abstractNumId w:val="24"/>
  </w:num>
  <w:num w:numId="45" w16cid:durableId="209849962">
    <w:abstractNumId w:val="74"/>
  </w:num>
  <w:num w:numId="46" w16cid:durableId="643318075">
    <w:abstractNumId w:val="34"/>
  </w:num>
  <w:num w:numId="47" w16cid:durableId="1059137433">
    <w:abstractNumId w:val="80"/>
  </w:num>
  <w:num w:numId="48" w16cid:durableId="1283457987">
    <w:abstractNumId w:val="22"/>
  </w:num>
  <w:num w:numId="49" w16cid:durableId="171914940">
    <w:abstractNumId w:val="84"/>
  </w:num>
  <w:num w:numId="50" w16cid:durableId="2120292140">
    <w:abstractNumId w:val="21"/>
  </w:num>
  <w:num w:numId="51" w16cid:durableId="985477429">
    <w:abstractNumId w:val="86"/>
  </w:num>
  <w:num w:numId="52" w16cid:durableId="1881478341">
    <w:abstractNumId w:val="12"/>
  </w:num>
  <w:num w:numId="53" w16cid:durableId="1795058920">
    <w:abstractNumId w:val="40"/>
  </w:num>
  <w:num w:numId="54" w16cid:durableId="1055659581">
    <w:abstractNumId w:val="25"/>
  </w:num>
  <w:num w:numId="55" w16cid:durableId="1358116323">
    <w:abstractNumId w:val="85"/>
  </w:num>
  <w:num w:numId="56" w16cid:durableId="320355818">
    <w:abstractNumId w:val="41"/>
  </w:num>
  <w:num w:numId="57" w16cid:durableId="64258007">
    <w:abstractNumId w:val="99"/>
  </w:num>
  <w:num w:numId="58" w16cid:durableId="479152660">
    <w:abstractNumId w:val="36"/>
  </w:num>
  <w:num w:numId="59" w16cid:durableId="761608849">
    <w:abstractNumId w:val="28"/>
  </w:num>
  <w:num w:numId="60" w16cid:durableId="378408156">
    <w:abstractNumId w:val="79"/>
  </w:num>
  <w:num w:numId="61" w16cid:durableId="207498184">
    <w:abstractNumId w:val="88"/>
  </w:num>
  <w:num w:numId="62" w16cid:durableId="1653287888">
    <w:abstractNumId w:val="103"/>
  </w:num>
  <w:num w:numId="63" w16cid:durableId="1967005515">
    <w:abstractNumId w:val="46"/>
  </w:num>
  <w:num w:numId="64" w16cid:durableId="1087773612">
    <w:abstractNumId w:val="52"/>
  </w:num>
  <w:num w:numId="65" w16cid:durableId="1418361636">
    <w:abstractNumId w:val="102"/>
  </w:num>
  <w:num w:numId="66" w16cid:durableId="1464035962">
    <w:abstractNumId w:val="26"/>
  </w:num>
  <w:num w:numId="67" w16cid:durableId="578835219">
    <w:abstractNumId w:val="73"/>
  </w:num>
  <w:num w:numId="68" w16cid:durableId="1255938885">
    <w:abstractNumId w:val="20"/>
  </w:num>
  <w:num w:numId="69" w16cid:durableId="1676955217">
    <w:abstractNumId w:val="11"/>
  </w:num>
  <w:num w:numId="70" w16cid:durableId="1372420014">
    <w:abstractNumId w:val="78"/>
  </w:num>
  <w:num w:numId="71" w16cid:durableId="812791737">
    <w:abstractNumId w:val="15"/>
  </w:num>
  <w:num w:numId="72" w16cid:durableId="1734348142">
    <w:abstractNumId w:val="61"/>
  </w:num>
  <w:num w:numId="73" w16cid:durableId="1535656412">
    <w:abstractNumId w:val="32"/>
  </w:num>
  <w:num w:numId="74" w16cid:durableId="1178081912">
    <w:abstractNumId w:val="83"/>
  </w:num>
  <w:num w:numId="75" w16cid:durableId="895774463">
    <w:abstractNumId w:val="43"/>
  </w:num>
  <w:num w:numId="76" w16cid:durableId="1971008157">
    <w:abstractNumId w:val="94"/>
  </w:num>
  <w:num w:numId="77" w16cid:durableId="1663315055">
    <w:abstractNumId w:val="70"/>
  </w:num>
  <w:num w:numId="78" w16cid:durableId="1213729606">
    <w:abstractNumId w:val="45"/>
  </w:num>
  <w:num w:numId="79" w16cid:durableId="559677858">
    <w:abstractNumId w:val="51"/>
  </w:num>
  <w:num w:numId="80" w16cid:durableId="1456681690">
    <w:abstractNumId w:val="95"/>
  </w:num>
  <w:num w:numId="81" w16cid:durableId="512065496">
    <w:abstractNumId w:val="48"/>
  </w:num>
  <w:num w:numId="82" w16cid:durableId="1511917840">
    <w:abstractNumId w:val="37"/>
  </w:num>
  <w:num w:numId="83" w16cid:durableId="1345016930">
    <w:abstractNumId w:val="58"/>
  </w:num>
  <w:num w:numId="84" w16cid:durableId="1998848987">
    <w:abstractNumId w:val="13"/>
  </w:num>
  <w:num w:numId="85" w16cid:durableId="237133526">
    <w:abstractNumId w:val="39"/>
  </w:num>
  <w:num w:numId="86" w16cid:durableId="89132219">
    <w:abstractNumId w:val="66"/>
  </w:num>
  <w:num w:numId="87" w16cid:durableId="569081211">
    <w:abstractNumId w:val="92"/>
  </w:num>
  <w:num w:numId="88" w16cid:durableId="584997566">
    <w:abstractNumId w:val="89"/>
  </w:num>
  <w:num w:numId="89" w16cid:durableId="1923491108">
    <w:abstractNumId w:val="18"/>
  </w:num>
  <w:num w:numId="90" w16cid:durableId="577787241">
    <w:abstractNumId w:val="93"/>
  </w:num>
  <w:num w:numId="91" w16cid:durableId="1463377878">
    <w:abstractNumId w:val="104"/>
  </w:num>
  <w:num w:numId="92" w16cid:durableId="1370567311">
    <w:abstractNumId w:val="76"/>
  </w:num>
  <w:num w:numId="93" w16cid:durableId="1368146118">
    <w:abstractNumId w:val="97"/>
  </w:num>
  <w:num w:numId="94" w16cid:durableId="951209045">
    <w:abstractNumId w:val="55"/>
  </w:num>
  <w:num w:numId="95" w16cid:durableId="674653081">
    <w:abstractNumId w:val="64"/>
  </w:num>
  <w:num w:numId="96" w16cid:durableId="830415034">
    <w:abstractNumId w:val="71"/>
  </w:num>
  <w:num w:numId="97" w16cid:durableId="1153718620">
    <w:abstractNumId w:val="50"/>
  </w:num>
  <w:num w:numId="98" w16cid:durableId="2032416980">
    <w:abstractNumId w:val="59"/>
  </w:num>
  <w:num w:numId="99" w16cid:durableId="1628706640">
    <w:abstractNumId w:val="29"/>
  </w:num>
  <w:num w:numId="100" w16cid:durableId="111245326">
    <w:abstractNumId w:val="91"/>
  </w:num>
  <w:num w:numId="101" w16cid:durableId="183442390">
    <w:abstractNumId w:val="53"/>
  </w:num>
  <w:num w:numId="102" w16cid:durableId="176770589">
    <w:abstractNumId w:val="49"/>
  </w:num>
  <w:num w:numId="103" w16cid:durableId="1822311296">
    <w:abstractNumId w:val="47"/>
  </w:num>
  <w:num w:numId="104" w16cid:durableId="1463157240">
    <w:abstractNumId w:val="62"/>
  </w:num>
  <w:num w:numId="105" w16cid:durableId="834958504">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687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6365"/>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1C8B"/>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02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CD7"/>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3CE0"/>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A4850"/>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DF6F37"/>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E28F"/>
  <w15:chartTrackingRefBased/>
  <w15:docId w15:val="{4967A0B3-A868-42E7-8C2F-36522FC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795686374">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31183</Words>
  <Characters>177746</Characters>
  <Application>Microsoft Office Word</Application>
  <DocSecurity>0</DocSecurity>
  <Lines>1481</Lines>
  <Paragraphs>417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208512</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4</cp:revision>
  <cp:lastPrinted>2020-07-27T05:11:00Z</cp:lastPrinted>
  <dcterms:created xsi:type="dcterms:W3CDTF">2022-12-04T08:01:00Z</dcterms:created>
  <dcterms:modified xsi:type="dcterms:W3CDTF">2022-12-04T08:15:00Z</dcterms:modified>
</cp:coreProperties>
</file>