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Spec="right" w:tblpY="-390"/>
        <w:tblW w:w="0" w:type="auto"/>
        <w:tblLook w:val="04A0"/>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A428C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A428CA">
              <w:rPr>
                <w:rFonts w:ascii="Simplified Arabic" w:hAnsi="Simplified Arabic" w:cs="Simplified Arabic"/>
                <w:b/>
                <w:bCs/>
                <w:color w:val="000000"/>
                <w:sz w:val="32"/>
                <w:szCs w:val="32"/>
                <w:highlight w:val="cyan"/>
                <w:lang w:bidi="ar-LB"/>
              </w:rPr>
              <w:t>19</w:t>
            </w:r>
            <w:r w:rsidRPr="00212FFB">
              <w:rPr>
                <w:rFonts w:ascii="Simplified Arabic" w:hAnsi="Simplified Arabic" w:cs="Simplified Arabic"/>
                <w:b/>
                <w:bCs/>
                <w:color w:val="000000"/>
                <w:sz w:val="32"/>
                <w:szCs w:val="32"/>
                <w:highlight w:val="cyan"/>
                <w:lang w:bidi="ar-LB"/>
              </w:rPr>
              <w:t xml:space="preserve"> /202</w:t>
            </w:r>
            <w:r w:rsidR="00A428CA">
              <w:rPr>
                <w:rFonts w:ascii="Simplified Arabic" w:hAnsi="Simplified Arabic" w:cs="Simplified Arabic"/>
                <w:b/>
                <w:bCs/>
                <w:color w:val="000000"/>
                <w:sz w:val="32"/>
                <w:szCs w:val="32"/>
                <w:lang w:bidi="ar-LB"/>
              </w:rPr>
              <w:t>2A</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428CA">
            <w:pPr>
              <w:bidi/>
              <w:jc w:val="both"/>
              <w:rPr>
                <w:sz w:val="32"/>
                <w:szCs w:val="32"/>
                <w:rtl/>
                <w:lang w:bidi="ar-IQ"/>
              </w:rPr>
            </w:pPr>
            <w:r w:rsidRPr="00212FFB">
              <w:rPr>
                <w:bCs/>
                <w:sz w:val="32"/>
                <w:szCs w:val="32"/>
                <w:u w:val="single"/>
                <w:rtl/>
                <w:lang w:bidi="ar-LB"/>
              </w:rPr>
              <w:t>التاريخ:</w:t>
            </w:r>
            <w:r w:rsidR="00A428CA">
              <w:rPr>
                <w:rFonts w:asciiTheme="minorBidi" w:hAnsiTheme="minorBidi"/>
                <w:color w:val="000000"/>
                <w:sz w:val="32"/>
                <w:szCs w:val="32"/>
                <w:rtl/>
                <w:lang w:bidi="ar-LB"/>
              </w:rPr>
              <w:t>صدر بتاريخ   يوم المصاد</w:t>
            </w:r>
            <w:r w:rsidR="00A428CA">
              <w:rPr>
                <w:rFonts w:asciiTheme="minorBidi" w:hAnsiTheme="minorBidi" w:hint="cs"/>
                <w:color w:val="000000"/>
                <w:sz w:val="32"/>
                <w:szCs w:val="32"/>
                <w:rtl/>
                <w:lang w:bidi="ar-IQ"/>
              </w:rPr>
              <w:t>ف21</w:t>
            </w:r>
            <w:r w:rsidRPr="00212FFB">
              <w:rPr>
                <w:rFonts w:asciiTheme="minorBidi" w:hAnsiTheme="minorBidi"/>
                <w:color w:val="000000"/>
                <w:sz w:val="32"/>
                <w:szCs w:val="32"/>
                <w:highlight w:val="cyan"/>
                <w:rtl/>
                <w:lang w:bidi="ar-LB"/>
              </w:rPr>
              <w:t xml:space="preserve">/  </w:t>
            </w:r>
            <w:r w:rsidR="00A428CA">
              <w:rPr>
                <w:rFonts w:asciiTheme="minorBidi" w:hAnsiTheme="minorBidi" w:hint="cs"/>
                <w:color w:val="000000"/>
                <w:sz w:val="32"/>
                <w:szCs w:val="32"/>
                <w:highlight w:val="cyan"/>
                <w:rtl/>
                <w:lang w:bidi="ar-LB"/>
              </w:rPr>
              <w:t>2</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428C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428CA">
              <w:rPr>
                <w:b/>
                <w:bCs/>
                <w:color w:val="000000"/>
                <w:spacing w:val="-2"/>
                <w:sz w:val="24"/>
                <w:szCs w:val="24"/>
                <w:highlight w:val="cyan"/>
              </w:rPr>
              <w:t>19</w:t>
            </w:r>
            <w:r w:rsidRPr="00212FFB">
              <w:rPr>
                <w:b/>
                <w:bCs/>
                <w:color w:val="000000"/>
                <w:spacing w:val="-2"/>
                <w:sz w:val="24"/>
                <w:szCs w:val="24"/>
                <w:highlight w:val="cyan"/>
              </w:rPr>
              <w:t xml:space="preserve">  /202</w:t>
            </w:r>
            <w:r w:rsidR="00A428CA">
              <w:rPr>
                <w:b/>
                <w:bCs/>
                <w:color w:val="000000"/>
                <w:spacing w:val="-2"/>
                <w:sz w:val="24"/>
                <w:szCs w:val="24"/>
              </w:rPr>
              <w:t>2A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8"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9"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4070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428CA">
              <w:rPr>
                <w:rFonts w:hint="cs"/>
                <w:sz w:val="24"/>
                <w:szCs w:val="24"/>
                <w:rtl/>
                <w:lang w:bidi="ar-IQ"/>
              </w:rPr>
              <w:t>21</w:t>
            </w:r>
            <w:r w:rsidRPr="00212FFB">
              <w:rPr>
                <w:rFonts w:hint="cs"/>
                <w:sz w:val="24"/>
                <w:szCs w:val="24"/>
                <w:highlight w:val="cyan"/>
                <w:rtl/>
              </w:rPr>
              <w:t xml:space="preserve">/  </w:t>
            </w:r>
            <w:r w:rsidR="00A428CA">
              <w:rPr>
                <w:rFonts w:hint="cs"/>
                <w:sz w:val="24"/>
                <w:szCs w:val="24"/>
                <w:highlight w:val="cyan"/>
                <w:rtl/>
              </w:rPr>
              <w:t>2</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40700">
              <w:rPr>
                <w:rFonts w:hint="cs"/>
                <w:sz w:val="24"/>
                <w:szCs w:val="24"/>
                <w:rtl/>
                <w:lang w:bidi="ar-IQ"/>
              </w:rPr>
              <w:t>27</w:t>
            </w:r>
            <w:r w:rsidRPr="00212FFB">
              <w:rPr>
                <w:rFonts w:hint="cs"/>
                <w:sz w:val="24"/>
                <w:szCs w:val="24"/>
                <w:highlight w:val="cyan"/>
                <w:rtl/>
                <w:lang w:bidi="ar-DZ"/>
              </w:rPr>
              <w:t xml:space="preserve">/   </w:t>
            </w:r>
            <w:r w:rsidR="00F5677F">
              <w:rPr>
                <w:rFonts w:hint="cs"/>
                <w:sz w:val="24"/>
                <w:szCs w:val="24"/>
                <w:highlight w:val="cyan"/>
                <w:rtl/>
                <w:lang w:bidi="ar-DZ"/>
              </w:rPr>
              <w:t>2</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40700">
              <w:rPr>
                <w:rFonts w:hint="cs"/>
                <w:color w:val="000000"/>
                <w:spacing w:val="-2"/>
                <w:sz w:val="24"/>
                <w:szCs w:val="24"/>
                <w:highlight w:val="cyan"/>
                <w:rtl/>
              </w:rPr>
              <w:t>7</w:t>
            </w:r>
            <w:r w:rsidRPr="00212FFB">
              <w:rPr>
                <w:rFonts w:hint="cs"/>
                <w:color w:val="000000"/>
                <w:spacing w:val="-2"/>
                <w:sz w:val="24"/>
                <w:szCs w:val="24"/>
                <w:highlight w:val="cyan"/>
                <w:rtl/>
              </w:rPr>
              <w:t>/</w:t>
            </w:r>
            <w:r w:rsidR="00F40700">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0" w:type="auto"/>
        <w:tblLayout w:type="fixed"/>
        <w:tblLook w:val="04A0"/>
      </w:tblPr>
      <w:tblGrid>
        <w:gridCol w:w="666"/>
        <w:gridCol w:w="1427"/>
        <w:gridCol w:w="3067"/>
        <w:gridCol w:w="1367"/>
        <w:gridCol w:w="1365"/>
        <w:gridCol w:w="1091"/>
        <w:gridCol w:w="1222"/>
        <w:gridCol w:w="1210"/>
        <w:gridCol w:w="1026"/>
      </w:tblGrid>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A428C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428CA">
              <w:rPr>
                <w:rFonts w:ascii="Arial" w:eastAsia="Times New Roman" w:hAnsi="Arial"/>
                <w:b/>
                <w:bCs/>
                <w:sz w:val="24"/>
                <w:szCs w:val="24"/>
                <w:u w:val="single"/>
              </w:rPr>
              <w:t>19</w:t>
            </w:r>
            <w:r w:rsidRPr="00120DE8">
              <w:rPr>
                <w:rFonts w:ascii="Arial" w:eastAsia="Times New Roman" w:hAnsi="Arial"/>
                <w:b/>
                <w:bCs/>
                <w:sz w:val="24"/>
                <w:szCs w:val="24"/>
                <w:u w:val="single"/>
              </w:rPr>
              <w:t xml:space="preserve">   /202</w:t>
            </w:r>
            <w:r w:rsidR="00A428CA">
              <w:rPr>
                <w:rFonts w:ascii="Arial" w:eastAsia="Times New Roman" w:hAnsi="Arial"/>
                <w:b/>
                <w:bCs/>
                <w:sz w:val="24"/>
                <w:szCs w:val="24"/>
                <w:u w:val="single"/>
              </w:rPr>
              <w:t>2A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11A4">
        <w:tc>
          <w:tcPr>
            <w:tcW w:w="12441" w:type="dxa"/>
            <w:gridSpan w:val="9"/>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11A4">
        <w:tc>
          <w:tcPr>
            <w:tcW w:w="12441" w:type="dxa"/>
            <w:gridSpan w:val="9"/>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212FFB" w:rsidRPr="00844D38" w:rsidTr="00AD11A4">
        <w:trPr>
          <w:trHeight w:val="900"/>
        </w:trPr>
        <w:tc>
          <w:tcPr>
            <w:tcW w:w="666" w:type="dxa"/>
            <w:vAlign w:val="center"/>
            <w:hideMark/>
          </w:tcPr>
          <w:p w:rsidR="00120DE8" w:rsidRPr="00844D38" w:rsidRDefault="00120DE8" w:rsidP="008D681B">
            <w:pPr>
              <w:jc w:val="center"/>
              <w:rPr>
                <w:rFonts w:eastAsia="Times New Roman" w:cs="Calibri"/>
                <w:b/>
                <w:bCs/>
                <w:color w:val="000000"/>
              </w:rPr>
            </w:pPr>
          </w:p>
        </w:tc>
        <w:tc>
          <w:tcPr>
            <w:tcW w:w="142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rsidR="00120DE8" w:rsidRPr="008D681B" w:rsidRDefault="00120DE8" w:rsidP="00762B07">
            <w:pPr>
              <w:jc w:val="center"/>
              <w:rPr>
                <w:rFonts w:eastAsia="Times New Roman" w:cs="Calibri"/>
                <w:b/>
                <w:bCs/>
                <w:color w:val="000000"/>
              </w:rPr>
            </w:pPr>
            <w:r w:rsidRPr="008D681B">
              <w:rPr>
                <w:rFonts w:eastAsia="Times New Roman" w:cs="Calibri"/>
                <w:b/>
                <w:bCs/>
                <w:color w:val="000000"/>
              </w:rPr>
              <w:t>TOTAL202</w:t>
            </w:r>
            <w:r w:rsidR="00762B07">
              <w:rPr>
                <w:rFonts w:eastAsia="Times New Roman" w:cs="Calibri"/>
                <w:b/>
                <w:bCs/>
                <w:color w:val="000000"/>
              </w:rPr>
              <w:t>3</w:t>
            </w:r>
          </w:p>
        </w:tc>
        <w:tc>
          <w:tcPr>
            <w:tcW w:w="1365"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05-AH0-013</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Prothionamid  250mg Tablet</w:t>
            </w:r>
            <w:r>
              <w:rPr>
                <w:rFonts w:ascii="Calibri" w:hAnsi="Calibri" w:cs="Times New Roman"/>
                <w:i/>
                <w:iCs/>
                <w:color w:val="000000"/>
                <w:rtl/>
              </w:rPr>
              <w:t xml:space="preserve">خط ثاني </w:t>
            </w:r>
            <w:r>
              <w:rPr>
                <w:rFonts w:ascii="Calibri" w:hAnsi="Calibri" w:cs="Calibri"/>
                <w:i/>
                <w:iCs/>
                <w:color w:val="000000"/>
              </w:rPr>
              <w:br/>
            </w:r>
            <w:r>
              <w:rPr>
                <w:rFonts w:ascii="Calibri" w:hAnsi="Calibri" w:cs="Times New Roman"/>
                <w:i/>
                <w:iCs/>
                <w:color w:val="000000"/>
                <w:rtl/>
              </w:rPr>
              <w:t>يحدد صرفه في الركز الوطني التخصصي لامراض الصدرية والتنفسية رفع الى المستوى</w:t>
            </w:r>
            <w:r>
              <w:rPr>
                <w:rFonts w:ascii="Calibri" w:hAnsi="Calibri" w:cs="Calibri"/>
                <w:i/>
                <w:iCs/>
                <w:color w:val="000000"/>
              </w:rPr>
              <w:t xml:space="preserve">  </w:t>
            </w:r>
            <w:r>
              <w:rPr>
                <w:rFonts w:ascii="Calibri" w:hAnsi="Calibri" w:cs="Times New Roman"/>
                <w:i/>
                <w:iCs/>
                <w:color w:val="000000"/>
                <w:rtl/>
              </w:rPr>
              <w:t>الاول بالجلسة 1094خط ثاني</w:t>
            </w:r>
            <w:r>
              <w:rPr>
                <w:rFonts w:ascii="Calibri" w:hAnsi="Calibri" w:cs="Calibri"/>
                <w:i/>
                <w:iCs/>
                <w:color w:val="000000"/>
              </w:rPr>
              <w:t xml:space="preserve">                 </w:t>
            </w:r>
            <w:r>
              <w:rPr>
                <w:rFonts w:ascii="Calibri" w:hAnsi="Calibri" w:cs="Times New Roman"/>
                <w:i/>
                <w:iCs/>
                <w:color w:val="000000"/>
                <w:rtl/>
              </w:rPr>
              <w:t xml:space="preserve">الجلسة 981يحدد صرفه في المركز الوطني التخصصي للامراض </w:t>
            </w:r>
            <w:r>
              <w:rPr>
                <w:rFonts w:ascii="Calibri" w:hAnsi="Calibri" w:cs="Calibri"/>
                <w:i/>
                <w:iCs/>
                <w:color w:val="000000"/>
              </w:rPr>
              <w:br/>
            </w:r>
            <w:r>
              <w:rPr>
                <w:rFonts w:ascii="Calibri" w:hAnsi="Calibri" w:cs="Times New Roman"/>
                <w:i/>
                <w:iCs/>
                <w:color w:val="000000"/>
                <w:rtl/>
              </w:rPr>
              <w:t>الصدرية والتنفسية</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40000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4TAB</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1.344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1.008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0.604</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0.336</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2</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05-AI0-003</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Clofazimine 100mg Capsule </w:t>
            </w:r>
            <w:r>
              <w:rPr>
                <w:rFonts w:ascii="Calibri" w:hAnsi="Calibri" w:cs="Times New Roman"/>
                <w:i/>
                <w:iCs/>
                <w:color w:val="000000"/>
                <w:rtl/>
              </w:rPr>
              <w:t>بالجلسة 1094خط ثاني</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108000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10 TAB</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0.396</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0.27</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0.178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0.099</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3</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05-B00-070</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Zidovudine + lamivudine 60mg/30mg dispersible tab    </w:t>
            </w:r>
            <w:r>
              <w:rPr>
                <w:rFonts w:ascii="Calibri" w:hAnsi="Calibri" w:cs="Times New Roman"/>
                <w:i/>
                <w:iCs/>
                <w:color w:val="000000"/>
                <w:rtl/>
              </w:rPr>
              <w:t>ج/1118 مضاف حديثا</w:t>
            </w:r>
            <w:r>
              <w:rPr>
                <w:rFonts w:ascii="Calibri" w:hAnsi="Calibri" w:cs="Calibri"/>
                <w:i/>
                <w:iCs/>
                <w:color w:val="000000"/>
              </w:rPr>
              <w:t xml:space="preserve">   </w:t>
            </w:r>
            <w:r>
              <w:rPr>
                <w:rFonts w:ascii="Calibri" w:hAnsi="Calibri" w:cs="Times New Roman"/>
                <w:i/>
                <w:iCs/>
                <w:color w:val="000000"/>
                <w:rtl/>
              </w:rPr>
              <w:t>احتياج طويل الامد (2023-2027) ادوية العوز المناعي يستخدما معا كعلاج متكامل للرضع و الاطفال دون سن ال 12 سنة(يتم تجهيزها معا</w:t>
            </w:r>
            <w:r>
              <w:rPr>
                <w:rFonts w:ascii="Calibri" w:hAnsi="Calibri" w:cs="Calibri"/>
                <w:i/>
                <w:iCs/>
                <w:color w:val="000000"/>
              </w:rPr>
              <w:t>)</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1058400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6 TAB</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40</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28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10</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4</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08-H00-015</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Anti-Inhibitor Coagulant Compelx Nanofilterd &amp;Vapor Heated:-   500 Units per Vial    </w:t>
            </w:r>
            <w:r>
              <w:rPr>
                <w:rFonts w:ascii="Calibri" w:hAnsi="Calibri" w:cs="Calibri"/>
                <w:i/>
                <w:iCs/>
                <w:color w:val="000000"/>
              </w:rPr>
              <w:br/>
              <w:t xml:space="preserve">(  Factor VIII inhibitor Bypassing Activity powder and solvent for solution for intravenous injection )  </w:t>
            </w:r>
            <w:r>
              <w:rPr>
                <w:rFonts w:ascii="Calibri" w:hAnsi="Calibri" w:cs="Calibri"/>
                <w:i/>
                <w:iCs/>
                <w:color w:val="000000"/>
              </w:rPr>
              <w:br/>
              <w:t xml:space="preserve">        </w:t>
            </w:r>
            <w:r>
              <w:rPr>
                <w:rFonts w:ascii="Calibri" w:hAnsi="Calibri" w:cs="Calibri"/>
                <w:i/>
                <w:iCs/>
                <w:color w:val="000000"/>
              </w:rPr>
              <w:br/>
              <w:t xml:space="preserve">- For Control spontaneous bleeding episodes or to cover surgical intervention in hemophilia A&amp; hemophilia B patients with inhibitors - </w:t>
            </w:r>
            <w:r>
              <w:rPr>
                <w:rFonts w:ascii="Calibri" w:hAnsi="Calibri" w:cs="Calibri"/>
                <w:i/>
                <w:iCs/>
                <w:color w:val="000000"/>
              </w:rPr>
              <w:lastRenderedPageBreak/>
              <w:t xml:space="preserve">Treatment of hemorrhage in non- hemophilic patients with  acquired factor VIII inhibitorsContraindicated - in patients with  normal coagulation mechanism in the absence of inhibitors to coagulation factors.- In the patients with DIC </w:t>
            </w:r>
            <w:r>
              <w:rPr>
                <w:rFonts w:ascii="Calibri" w:hAnsi="Calibri" w:cs="Calibri"/>
                <w:i/>
                <w:iCs/>
                <w:color w:val="000000"/>
              </w:rPr>
              <w:br/>
            </w:r>
            <w:r>
              <w:rPr>
                <w:rFonts w:ascii="Calibri" w:hAnsi="Calibri" w:cs="Times New Roman"/>
                <w:i/>
                <w:iCs/>
                <w:color w:val="000000"/>
                <w:rtl/>
              </w:rPr>
              <w:t>ج\1089</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lastRenderedPageBreak/>
              <w:t>50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1vial</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223</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156</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100.4</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55.7</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lastRenderedPageBreak/>
              <w:t>5</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15-AA0-002</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Carmustine 100mg I.V. Injection</w:t>
            </w:r>
            <w:r>
              <w:rPr>
                <w:rFonts w:ascii="Calibri" w:hAnsi="Calibri" w:cs="Calibri"/>
                <w:i/>
                <w:iCs/>
                <w:color w:val="000000"/>
              </w:rPr>
              <w:br/>
            </w:r>
            <w:r>
              <w:rPr>
                <w:rFonts w:ascii="Calibri" w:hAnsi="Calibri" w:cs="Times New Roman"/>
                <w:i/>
                <w:iCs/>
                <w:color w:val="000000"/>
                <w:rtl/>
              </w:rPr>
              <w:t>يخصص في مركز زراعة نخاع العظم في مدينة الطب</w:t>
            </w:r>
            <w:r>
              <w:rPr>
                <w:rFonts w:ascii="Calibri" w:hAnsi="Calibri" w:cs="Calibri"/>
                <w:i/>
                <w:iCs/>
                <w:color w:val="000000"/>
              </w:rPr>
              <w:t xml:space="preserve"> </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400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 VIAL</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191.9</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134.3</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86.37</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47.9</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6</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15-AA0-024</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Melphalan 50 mg (as HCl) powder for reconstitution vial ( with solvent-diluent )</w:t>
            </w:r>
            <w:r>
              <w:rPr>
                <w:rFonts w:ascii="Calibri" w:hAnsi="Calibri" w:cs="Times New Roman"/>
                <w:i/>
                <w:iCs/>
                <w:color w:val="000000"/>
                <w:rtl/>
              </w:rPr>
              <w:t>يخصص في مركز زراعة نخاع العظم في مدينة الطب</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620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 VIAL</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84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58.8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37.8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21</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7</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17-000-034</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Pralidoxime mesylate 1g/5ml (5ml) Ampoule         </w:t>
            </w:r>
            <w:r>
              <w:rPr>
                <w:rFonts w:ascii="Calibri" w:hAnsi="Calibri" w:cs="Times New Roman"/>
                <w:i/>
                <w:iCs/>
                <w:color w:val="000000"/>
                <w:rtl/>
              </w:rPr>
              <w:t>يتم تثبيت الاحتياج من قبل المركز الاستشاري لاستعلامات السموم حصرا + ذي قارتم اضافته الى قائمة ادوية الطوارئ ويتم توفيره في كافة المستشفيات الحاوية على ردهة طوارئ</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2993</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 amp(5ml)</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1.94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1.36</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0.87</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0.48</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8</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17-000-052</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Succimer 100mg Capsule        </w:t>
            </w:r>
            <w:r>
              <w:rPr>
                <w:rFonts w:ascii="Calibri" w:hAnsi="Calibri" w:cs="Times New Roman"/>
                <w:i/>
                <w:iCs/>
                <w:color w:val="000000"/>
                <w:rtl/>
              </w:rPr>
              <w:t xml:space="preserve">احتياج طويل الامد </w:t>
            </w:r>
            <w:r>
              <w:rPr>
                <w:rFonts w:ascii="Calibri" w:hAnsi="Calibri" w:cs="Calibri"/>
                <w:i/>
                <w:iCs/>
                <w:color w:val="000000"/>
              </w:rPr>
              <w:t xml:space="preserve">(2022-2026)       </w:t>
            </w:r>
            <w:r>
              <w:rPr>
                <w:rFonts w:ascii="Calibri" w:hAnsi="Calibri" w:cs="Times New Roman"/>
                <w:i/>
                <w:iCs/>
                <w:color w:val="000000"/>
                <w:rtl/>
              </w:rPr>
              <w:t>يتم تثبيت الاحتياج من قبل المركز الاستشاري لاستعلامات السموم + ذي قار</w:t>
            </w:r>
            <w:r>
              <w:rPr>
                <w:rFonts w:ascii="Calibri" w:hAnsi="Calibri" w:cs="Calibri"/>
                <w:i/>
                <w:iCs/>
                <w:color w:val="000000"/>
              </w:rPr>
              <w:t xml:space="preserve">    </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77500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1CAP</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0.24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0.168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0.108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0.06</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9</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17-000-076</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Activated Charcoal   50 g in suspension + sorbitol 96 g   - 240 ml </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3869</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250 ML</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11.7</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8.19</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5.26</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2.9</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10</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09-H00-010</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Biotin (Vit H) 5 mg/ml  injection (disorder of Biotin metabolism)</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135</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1amp</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1</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0.7</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0.45</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0.25</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lastRenderedPageBreak/>
              <w:t>11</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09-H00-012</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sodium benzoate 250 mg capsule </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3550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57 gm(powder)</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10</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7</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4.5</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2.5</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12</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09-Ebm-001</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Good start soy plus DHA plus ARA from birth</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100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1tin </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2.8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1</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13</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09-Ebm-004</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Elemental and semi elemental formula  contain no galactose but of no benefict on long term.</w:t>
            </w:r>
            <w:r>
              <w:rPr>
                <w:rFonts w:ascii="Calibri" w:hAnsi="Calibri" w:cs="Calibri"/>
                <w:i/>
                <w:iCs/>
                <w:color w:val="000000"/>
              </w:rPr>
              <w:br/>
              <w:t xml:space="preserve">for infants as a sole source of nutrition or as supplementary feed for children </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50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1tin </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4.4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2.94</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1.89</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1</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14</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09-Ebm-005</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CHO modified formula nutritionally casein based cow s milk for lactose and galactose restricted diet(carbohydrate free mixture ).</w:t>
            </w:r>
            <w:r>
              <w:rPr>
                <w:rFonts w:ascii="Calibri" w:hAnsi="Calibri" w:cs="Calibri"/>
                <w:i/>
                <w:iCs/>
                <w:color w:val="000000"/>
              </w:rPr>
              <w:br/>
              <w:t>for infants as a sole source of nutrition or as supplementary feed for children</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308</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1tin </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2.8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1</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15</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09-Ebp-001</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milk formula for non ketotic hyperglycinemia patients suitable from birth.</w:t>
            </w:r>
            <w:r>
              <w:rPr>
                <w:rFonts w:ascii="Calibri" w:hAnsi="Calibri" w:cs="Calibri"/>
                <w:i/>
                <w:iCs/>
                <w:color w:val="000000"/>
              </w:rPr>
              <w:br/>
              <w:t>Glycine free</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50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1tin </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4</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2.8</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1.8</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1</w:t>
            </w:r>
          </w:p>
        </w:tc>
      </w:tr>
      <w:tr w:rsidR="00A428CA" w:rsidRPr="00844D38" w:rsidTr="00AD11A4">
        <w:trPr>
          <w:trHeight w:val="900"/>
        </w:trPr>
        <w:tc>
          <w:tcPr>
            <w:tcW w:w="666" w:type="dxa"/>
            <w:vAlign w:val="center"/>
          </w:tcPr>
          <w:p w:rsidR="00A428CA" w:rsidRDefault="00A428CA">
            <w:pPr>
              <w:jc w:val="center"/>
              <w:rPr>
                <w:rFonts w:ascii="Calibri" w:hAnsi="Calibri" w:cs="Calibri"/>
                <w:i/>
                <w:iCs/>
                <w:color w:val="000000"/>
              </w:rPr>
            </w:pPr>
            <w:r>
              <w:rPr>
                <w:rFonts w:ascii="Calibri" w:hAnsi="Calibri" w:cs="Calibri"/>
                <w:i/>
                <w:iCs/>
                <w:color w:val="000000"/>
              </w:rPr>
              <w:t>16</w:t>
            </w:r>
          </w:p>
        </w:tc>
        <w:tc>
          <w:tcPr>
            <w:tcW w:w="1427" w:type="dxa"/>
            <w:vAlign w:val="center"/>
          </w:tcPr>
          <w:p w:rsidR="00A428CA" w:rsidRDefault="00A428CA">
            <w:pPr>
              <w:jc w:val="center"/>
              <w:rPr>
                <w:rFonts w:ascii="Calibri" w:hAnsi="Calibri" w:cs="Calibri"/>
                <w:i/>
                <w:iCs/>
                <w:color w:val="000000"/>
              </w:rPr>
            </w:pPr>
            <w:r>
              <w:rPr>
                <w:rFonts w:ascii="Calibri" w:hAnsi="Calibri" w:cs="Calibri"/>
                <w:i/>
                <w:iCs/>
                <w:color w:val="000000"/>
              </w:rPr>
              <w:t>17-000-027</w:t>
            </w:r>
          </w:p>
        </w:tc>
        <w:tc>
          <w:tcPr>
            <w:tcW w:w="3067" w:type="dxa"/>
            <w:vAlign w:val="center"/>
          </w:tcPr>
          <w:p w:rsidR="00A428CA" w:rsidRDefault="00A428CA">
            <w:pPr>
              <w:jc w:val="center"/>
              <w:rPr>
                <w:rFonts w:ascii="Calibri" w:hAnsi="Calibri" w:cs="Calibri"/>
                <w:i/>
                <w:iCs/>
                <w:color w:val="000000"/>
              </w:rPr>
            </w:pPr>
            <w:r>
              <w:rPr>
                <w:rFonts w:ascii="Calibri" w:hAnsi="Calibri" w:cs="Calibri"/>
                <w:i/>
                <w:iCs/>
                <w:color w:val="000000"/>
              </w:rPr>
              <w:t xml:space="preserve">Methylene blue 1% slow i.v. inj (10ml) Ampoule )          (  </w:t>
            </w:r>
            <w:r>
              <w:rPr>
                <w:rFonts w:ascii="Calibri" w:hAnsi="Calibri" w:cs="Times New Roman"/>
                <w:i/>
                <w:iCs/>
                <w:color w:val="000000"/>
                <w:rtl/>
              </w:rPr>
              <w:t>احتياج طويل الامد (2022-2026</w:t>
            </w:r>
            <w:r>
              <w:rPr>
                <w:rFonts w:ascii="Calibri" w:hAnsi="Calibri" w:cs="Calibri"/>
                <w:i/>
                <w:iCs/>
                <w:color w:val="000000"/>
              </w:rPr>
              <w:t xml:space="preserve">                                                 </w:t>
            </w:r>
            <w:r>
              <w:rPr>
                <w:rFonts w:ascii="Calibri" w:hAnsi="Calibri" w:cs="Times New Roman"/>
                <w:i/>
                <w:iCs/>
                <w:color w:val="000000"/>
                <w:rtl/>
              </w:rPr>
              <w:t>يتم تثبيت الاحتياج من قبل المركز الاستشاري لاستعلامات السموم+ ذي قار(0.45</w:t>
            </w:r>
            <w:r>
              <w:rPr>
                <w:rFonts w:ascii="Calibri" w:hAnsi="Calibri" w:cs="Calibri"/>
                <w:i/>
                <w:iCs/>
                <w:color w:val="000000"/>
              </w:rPr>
              <w:t xml:space="preserve"> micron) </w:t>
            </w:r>
            <w:r>
              <w:rPr>
                <w:rFonts w:ascii="Calibri" w:hAnsi="Calibri" w:cs="Times New Roman"/>
                <w:i/>
                <w:iCs/>
                <w:color w:val="000000"/>
                <w:rtl/>
              </w:rPr>
              <w:t>بقياس</w:t>
            </w:r>
            <w:r>
              <w:rPr>
                <w:rFonts w:ascii="Calibri" w:hAnsi="Calibri" w:cs="Calibri"/>
                <w:i/>
                <w:iCs/>
                <w:color w:val="000000"/>
              </w:rPr>
              <w:t xml:space="preserve"> ( sterile filter ) </w:t>
            </w:r>
            <w:r>
              <w:rPr>
                <w:rFonts w:ascii="Calibri" w:hAnsi="Calibri" w:cs="Times New Roman"/>
                <w:i/>
                <w:iCs/>
                <w:color w:val="000000"/>
                <w:rtl/>
              </w:rPr>
              <w:t>التأكيد على استخدام مرشح</w:t>
            </w:r>
            <w:r>
              <w:rPr>
                <w:rFonts w:ascii="Calibri" w:hAnsi="Calibri" w:cs="Calibri"/>
                <w:i/>
                <w:iCs/>
                <w:color w:val="000000"/>
              </w:rPr>
              <w:t xml:space="preserve">sterile filter ) </w:t>
            </w:r>
            <w:r>
              <w:rPr>
                <w:rFonts w:ascii="Calibri" w:hAnsi="Calibri" w:cs="Times New Roman"/>
                <w:i/>
                <w:iCs/>
                <w:color w:val="000000"/>
                <w:rtl/>
              </w:rPr>
              <w:t>التأكيد على استخدام مرشح</w:t>
            </w:r>
          </w:p>
        </w:tc>
        <w:tc>
          <w:tcPr>
            <w:tcW w:w="1367" w:type="dxa"/>
            <w:vAlign w:val="center"/>
          </w:tcPr>
          <w:p w:rsidR="00A428CA" w:rsidRDefault="00A428CA">
            <w:pPr>
              <w:jc w:val="center"/>
              <w:rPr>
                <w:rFonts w:ascii="Calibri" w:hAnsi="Calibri" w:cs="Calibri"/>
                <w:i/>
                <w:iCs/>
                <w:color w:val="000000"/>
              </w:rPr>
            </w:pPr>
            <w:r>
              <w:rPr>
                <w:rFonts w:ascii="Calibri" w:hAnsi="Calibri" w:cs="Calibri"/>
                <w:i/>
                <w:iCs/>
                <w:color w:val="000000"/>
              </w:rPr>
              <w:t>450</w:t>
            </w:r>
          </w:p>
        </w:tc>
        <w:tc>
          <w:tcPr>
            <w:tcW w:w="1365" w:type="dxa"/>
            <w:vAlign w:val="center"/>
          </w:tcPr>
          <w:p w:rsidR="00A428CA" w:rsidRDefault="00A428CA">
            <w:pPr>
              <w:jc w:val="center"/>
              <w:rPr>
                <w:rFonts w:ascii="Calibri" w:hAnsi="Calibri" w:cs="Calibri"/>
                <w:i/>
                <w:iCs/>
                <w:color w:val="000000"/>
              </w:rPr>
            </w:pPr>
            <w:r>
              <w:rPr>
                <w:rFonts w:ascii="Calibri" w:hAnsi="Calibri" w:cs="Calibri"/>
                <w:i/>
                <w:iCs/>
                <w:color w:val="000000"/>
              </w:rPr>
              <w:t>1 vial</w:t>
            </w:r>
          </w:p>
        </w:tc>
        <w:tc>
          <w:tcPr>
            <w:tcW w:w="1091" w:type="dxa"/>
            <w:vAlign w:val="center"/>
          </w:tcPr>
          <w:p w:rsidR="00A428CA" w:rsidRDefault="00A428CA">
            <w:pPr>
              <w:jc w:val="center"/>
              <w:rPr>
                <w:rFonts w:ascii="Calibri" w:hAnsi="Calibri" w:cs="Calibri"/>
                <w:i/>
                <w:iCs/>
                <w:color w:val="000000"/>
              </w:rPr>
            </w:pPr>
            <w:r>
              <w:rPr>
                <w:rFonts w:ascii="Calibri" w:hAnsi="Calibri" w:cs="Calibri"/>
                <w:i/>
                <w:iCs/>
                <w:color w:val="000000"/>
              </w:rPr>
              <w:t>25.7</w:t>
            </w:r>
          </w:p>
        </w:tc>
        <w:tc>
          <w:tcPr>
            <w:tcW w:w="1222" w:type="dxa"/>
            <w:vAlign w:val="center"/>
          </w:tcPr>
          <w:p w:rsidR="00A428CA" w:rsidRDefault="00A428CA">
            <w:pPr>
              <w:jc w:val="center"/>
              <w:rPr>
                <w:rFonts w:ascii="Calibri" w:hAnsi="Calibri" w:cs="Calibri"/>
                <w:i/>
                <w:iCs/>
                <w:color w:val="000000"/>
              </w:rPr>
            </w:pPr>
            <w:r>
              <w:rPr>
                <w:rFonts w:ascii="Calibri" w:hAnsi="Calibri" w:cs="Calibri"/>
                <w:i/>
                <w:iCs/>
                <w:color w:val="000000"/>
              </w:rPr>
              <w:t>17.99</w:t>
            </w:r>
          </w:p>
        </w:tc>
        <w:tc>
          <w:tcPr>
            <w:tcW w:w="1210" w:type="dxa"/>
            <w:vAlign w:val="center"/>
          </w:tcPr>
          <w:p w:rsidR="00A428CA" w:rsidRDefault="00A428CA">
            <w:pPr>
              <w:jc w:val="center"/>
              <w:rPr>
                <w:rFonts w:ascii="Calibri" w:hAnsi="Calibri" w:cs="Calibri"/>
                <w:i/>
                <w:iCs/>
                <w:color w:val="000000"/>
              </w:rPr>
            </w:pPr>
            <w:r>
              <w:rPr>
                <w:rFonts w:ascii="Calibri" w:hAnsi="Calibri" w:cs="Calibri"/>
                <w:i/>
                <w:iCs/>
                <w:color w:val="000000"/>
              </w:rPr>
              <w:t>11.56</w:t>
            </w:r>
          </w:p>
        </w:tc>
        <w:tc>
          <w:tcPr>
            <w:tcW w:w="1026" w:type="dxa"/>
            <w:vAlign w:val="center"/>
          </w:tcPr>
          <w:p w:rsidR="00A428CA" w:rsidRDefault="00A428CA">
            <w:pPr>
              <w:jc w:val="center"/>
              <w:rPr>
                <w:rFonts w:ascii="Calibri" w:hAnsi="Calibri" w:cs="Calibri"/>
                <w:i/>
                <w:iCs/>
                <w:color w:val="000000"/>
              </w:rPr>
            </w:pPr>
            <w:r>
              <w:rPr>
                <w:rFonts w:ascii="Calibri" w:hAnsi="Calibri" w:cs="Calibri"/>
                <w:i/>
                <w:iCs/>
                <w:color w:val="000000"/>
              </w:rPr>
              <w:t>6.42</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lastRenderedPageBreak/>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F4070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40700">
              <w:rPr>
                <w:color w:val="000000"/>
                <w:sz w:val="24"/>
                <w:szCs w:val="24"/>
                <w:highlight w:val="yellow"/>
              </w:rPr>
              <w:t>19</w:t>
            </w:r>
            <w:r w:rsidRPr="009A54BD">
              <w:rPr>
                <w:color w:val="000000"/>
                <w:sz w:val="24"/>
                <w:szCs w:val="24"/>
                <w:highlight w:val="yellow"/>
              </w:rPr>
              <w:t xml:space="preserve"> /202</w:t>
            </w:r>
            <w:r w:rsidR="00F40700">
              <w:rPr>
                <w:color w:val="000000"/>
                <w:sz w:val="24"/>
                <w:szCs w:val="24"/>
              </w:rPr>
              <w:t>2A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F5037C" w:rsidP="00F40700">
            <w:pPr>
              <w:bidi/>
              <w:spacing w:line="300" w:lineRule="exact"/>
              <w:jc w:val="both"/>
              <w:rPr>
                <w:color w:val="000000"/>
                <w:sz w:val="24"/>
                <w:szCs w:val="24"/>
                <w:lang w:bidi="ar-IQ"/>
              </w:rPr>
            </w:pPr>
            <w:r>
              <w:rPr>
                <w:color w:val="000000"/>
                <w:sz w:val="24"/>
                <w:szCs w:val="24"/>
                <w:rtl/>
              </w:rPr>
              <w:t>رقم كتاب الدعوة</w:t>
            </w:r>
            <w:r w:rsidR="00F40700">
              <w:rPr>
                <w:color w:val="000000"/>
                <w:sz w:val="24"/>
                <w:szCs w:val="24"/>
                <w:lang w:bidi="ar-IQ"/>
              </w:rPr>
              <w:t>19</w:t>
            </w:r>
            <w:r>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0"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1"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F4070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40700">
              <w:rPr>
                <w:rFonts w:hint="cs"/>
                <w:b/>
                <w:bCs/>
                <w:color w:val="000000" w:themeColor="text1"/>
                <w:sz w:val="24"/>
                <w:szCs w:val="24"/>
                <w:rtl/>
                <w:lang w:bidi="ar-IQ"/>
              </w:rPr>
              <w:t>27</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F5677F">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4070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40700">
              <w:rPr>
                <w:rFonts w:hint="cs"/>
                <w:sz w:val="24"/>
                <w:szCs w:val="24"/>
                <w:highlight w:val="cyan"/>
                <w:rtl/>
              </w:rPr>
              <w:t>7</w:t>
            </w:r>
            <w:r w:rsidRPr="00825AE7">
              <w:rPr>
                <w:rFonts w:hint="cs"/>
                <w:sz w:val="24"/>
                <w:szCs w:val="24"/>
                <w:highlight w:val="cyan"/>
                <w:rtl/>
              </w:rPr>
              <w:t xml:space="preserve"> /  </w:t>
            </w:r>
            <w:r w:rsidR="00F40700">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4070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F40700">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xml:space="preserve"> /  </w:t>
            </w:r>
            <w:r w:rsidR="00F40700">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40700">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F40700">
              <w:rPr>
                <w:rFonts w:ascii="Simplified Arabic" w:hAnsi="Simplified Arabic" w:cs="Simplified Arabic"/>
                <w:color w:val="000000"/>
                <w:sz w:val="24"/>
                <w:szCs w:val="24"/>
                <w:highlight w:val="cyan"/>
                <w:lang w:bidi="ar-LB"/>
              </w:rPr>
              <w:t>19</w:t>
            </w:r>
            <w:r w:rsidRPr="00825AE7">
              <w:rPr>
                <w:rFonts w:ascii="Simplified Arabic" w:hAnsi="Simplified Arabic" w:cs="Simplified Arabic"/>
                <w:color w:val="000000"/>
                <w:sz w:val="24"/>
                <w:szCs w:val="24"/>
                <w:highlight w:val="cyan"/>
                <w:lang w:bidi="ar-LB"/>
              </w:rPr>
              <w:t xml:space="preserve">  /202</w:t>
            </w:r>
            <w:r w:rsidR="00F40700">
              <w:rPr>
                <w:rFonts w:ascii="Simplified Arabic" w:hAnsi="Simplified Arabic" w:cs="Simplified Arabic"/>
                <w:color w:val="000000"/>
                <w:sz w:val="24"/>
                <w:szCs w:val="24"/>
                <w:lang w:bidi="ar-LB"/>
              </w:rPr>
              <w:t>2A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4070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40700">
              <w:rPr>
                <w:rFonts w:hint="cs"/>
                <w:color w:val="000000"/>
                <w:sz w:val="24"/>
                <w:szCs w:val="24"/>
                <w:rtl/>
                <w:lang w:bidi="ar-IQ"/>
              </w:rPr>
              <w:t>7</w:t>
            </w:r>
            <w:r w:rsidRPr="00825AE7">
              <w:rPr>
                <w:rFonts w:hint="cs"/>
                <w:color w:val="000000"/>
                <w:sz w:val="24"/>
                <w:szCs w:val="24"/>
                <w:highlight w:val="cyan"/>
                <w:rtl/>
                <w:lang w:bidi="ar-IQ"/>
              </w:rPr>
              <w:t xml:space="preserve">/  </w:t>
            </w:r>
            <w:r w:rsidR="00F40700">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0375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03753">
              <w:rPr>
                <w:rFonts w:hint="cs"/>
                <w:color w:val="000000"/>
                <w:sz w:val="24"/>
                <w:szCs w:val="24"/>
                <w:highlight w:val="cyan"/>
                <w:rtl/>
                <w:lang w:bidi="ar-IQ"/>
              </w:rPr>
              <w:t>7</w:t>
            </w:r>
            <w:r w:rsidRPr="00825AE7">
              <w:rPr>
                <w:rFonts w:hint="cs"/>
                <w:color w:val="000000"/>
                <w:sz w:val="24"/>
                <w:szCs w:val="24"/>
                <w:highlight w:val="cyan"/>
                <w:rtl/>
              </w:rPr>
              <w:t xml:space="preserve"> / </w:t>
            </w:r>
            <w:r w:rsidR="00F03753">
              <w:rPr>
                <w:rFonts w:hint="cs"/>
                <w:color w:val="000000"/>
                <w:sz w:val="24"/>
                <w:szCs w:val="24"/>
                <w:highlight w:val="cyan"/>
                <w:rtl/>
              </w:rPr>
              <w:t>3</w:t>
            </w:r>
            <w:r w:rsidRPr="00825AE7">
              <w:rPr>
                <w:rFonts w:hint="cs"/>
                <w:color w:val="000000"/>
                <w:sz w:val="24"/>
                <w:szCs w:val="24"/>
                <w:highlight w:val="cyan"/>
                <w:rtl/>
              </w:rPr>
              <w:t>/</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w:t>
            </w:r>
            <w:r w:rsidRPr="003D6360">
              <w:rPr>
                <w:rFonts w:asciiTheme="majorHAnsi" w:hAnsiTheme="majorHAnsi"/>
                <w:sz w:val="24"/>
                <w:szCs w:val="24"/>
                <w:rtl/>
                <w:lang w:bidi="ar-LB"/>
              </w:rPr>
              <w:lastRenderedPageBreak/>
              <w:t>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1500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1500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1500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500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1500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1500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1500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1500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500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1500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1500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500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1500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1500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2"/>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C763B5" w:rsidRDefault="00EF107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05-AH0-013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Prothionamid  250mg Tablet</w:t>
            </w:r>
            <w:r>
              <w:rPr>
                <w:rFonts w:ascii="Calibri" w:hAnsi="Calibri" w:cs="Times New Roman"/>
                <w:i/>
                <w:iCs/>
                <w:color w:val="000000"/>
                <w:rtl/>
              </w:rPr>
              <w:t xml:space="preserve">خط ثاني </w:t>
            </w:r>
            <w:r>
              <w:rPr>
                <w:rFonts w:ascii="Calibri" w:hAnsi="Calibri" w:cs="Calibri"/>
                <w:i/>
                <w:iCs/>
                <w:color w:val="000000"/>
              </w:rPr>
              <w:br/>
            </w:r>
            <w:r>
              <w:rPr>
                <w:rFonts w:ascii="Calibri" w:hAnsi="Calibri" w:cs="Times New Roman"/>
                <w:i/>
                <w:iCs/>
                <w:color w:val="000000"/>
                <w:rtl/>
              </w:rPr>
              <w:t>يحدد صرفه في الركز الوطني التخصصي لامراض الصدرية والتنفسية رفع الى المستوى</w:t>
            </w:r>
            <w:r>
              <w:rPr>
                <w:rFonts w:ascii="Calibri" w:hAnsi="Calibri" w:cs="Calibri"/>
                <w:i/>
                <w:iCs/>
                <w:color w:val="000000"/>
              </w:rPr>
              <w:t xml:space="preserve">  </w:t>
            </w:r>
            <w:r>
              <w:rPr>
                <w:rFonts w:ascii="Calibri" w:hAnsi="Calibri" w:cs="Times New Roman"/>
                <w:i/>
                <w:iCs/>
                <w:color w:val="000000"/>
                <w:rtl/>
              </w:rPr>
              <w:t>الاول بالجلسة 1094خط ثاني</w:t>
            </w:r>
            <w:r>
              <w:rPr>
                <w:rFonts w:ascii="Calibri" w:hAnsi="Calibri" w:cs="Calibri"/>
                <w:i/>
                <w:iCs/>
                <w:color w:val="000000"/>
              </w:rPr>
              <w:t xml:space="preserve">                 </w:t>
            </w:r>
            <w:r>
              <w:rPr>
                <w:rFonts w:ascii="Calibri" w:hAnsi="Calibri" w:cs="Times New Roman"/>
                <w:i/>
                <w:iCs/>
                <w:color w:val="000000"/>
                <w:rtl/>
              </w:rPr>
              <w:t xml:space="preserve">الجلسة 981يحدد صرفه في المركز الوطني التخصصي للامراض </w:t>
            </w:r>
            <w:r>
              <w:rPr>
                <w:rFonts w:ascii="Calibri" w:hAnsi="Calibri" w:cs="Calibri"/>
                <w:i/>
                <w:iCs/>
                <w:color w:val="000000"/>
              </w:rPr>
              <w:br/>
            </w:r>
            <w:r>
              <w:rPr>
                <w:rFonts w:ascii="Calibri" w:hAnsi="Calibri" w:cs="Times New Roman"/>
                <w:i/>
                <w:iCs/>
                <w:color w:val="000000"/>
                <w:rtl/>
              </w:rPr>
              <w:t>الصدرية والتنفسية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05-AI0-003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Clofazimine 100mg Capsule </w:t>
            </w:r>
            <w:r>
              <w:rPr>
                <w:rFonts w:ascii="Calibri" w:hAnsi="Calibri" w:cs="Times New Roman"/>
                <w:i/>
                <w:iCs/>
                <w:color w:val="000000"/>
                <w:rtl/>
              </w:rPr>
              <w:t>بالجلسة 1094خط ثاني</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05-B00-070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Zidovudine + lamivudine 60mg/30mg dispersible tab    </w:t>
            </w:r>
            <w:r>
              <w:rPr>
                <w:rFonts w:ascii="Calibri" w:hAnsi="Calibri" w:cs="Times New Roman"/>
                <w:i/>
                <w:iCs/>
                <w:color w:val="000000"/>
                <w:rtl/>
              </w:rPr>
              <w:t>ج/1118 مضاف حديثا</w:t>
            </w:r>
            <w:r>
              <w:rPr>
                <w:rFonts w:ascii="Calibri" w:hAnsi="Calibri" w:cs="Calibri"/>
                <w:i/>
                <w:iCs/>
                <w:color w:val="000000"/>
              </w:rPr>
              <w:t xml:space="preserve">   </w:t>
            </w:r>
            <w:r>
              <w:rPr>
                <w:rFonts w:ascii="Calibri" w:hAnsi="Calibri" w:cs="Times New Roman"/>
                <w:i/>
                <w:iCs/>
                <w:color w:val="000000"/>
                <w:rtl/>
              </w:rPr>
              <w:t xml:space="preserve">احتياج طويل الامد (2023-2027) ادوية العوز المناعي يستخدما معا كعلاج متكامل </w:t>
            </w:r>
            <w:r>
              <w:rPr>
                <w:rFonts w:ascii="Calibri" w:hAnsi="Calibri" w:cs="Times New Roman"/>
                <w:i/>
                <w:iCs/>
                <w:color w:val="000000"/>
                <w:rtl/>
              </w:rPr>
              <w:lastRenderedPageBreak/>
              <w:t>للرضع و الاطفال دون سن ال 12 سنة(يتم تجهيزها معا</w:t>
            </w:r>
            <w:r>
              <w:rPr>
                <w:rFonts w:ascii="Calibri" w:hAnsi="Calibri" w:cs="Calibri"/>
                <w:i/>
                <w:iCs/>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08-H00-015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Anti-Inhibitor Coagulant Compelx Nanofilterd &amp;Vapor Heated:-   500 Units per Vial    </w:t>
            </w:r>
            <w:r>
              <w:rPr>
                <w:rFonts w:ascii="Calibri" w:hAnsi="Calibri" w:cs="Calibri"/>
                <w:i/>
                <w:iCs/>
                <w:color w:val="000000"/>
              </w:rPr>
              <w:br/>
              <w:t xml:space="preserve">(  Factor VIII inhibitor Bypassing Activity powder and solvent for solution for intravenous injection )  </w:t>
            </w:r>
            <w:r>
              <w:rPr>
                <w:rFonts w:ascii="Calibri" w:hAnsi="Calibri" w:cs="Calibri"/>
                <w:i/>
                <w:iCs/>
                <w:color w:val="000000"/>
              </w:rPr>
              <w:br/>
              <w:t xml:space="preserve">        </w:t>
            </w:r>
            <w:r>
              <w:rPr>
                <w:rFonts w:ascii="Calibri" w:hAnsi="Calibri" w:cs="Calibri"/>
                <w:i/>
                <w:iCs/>
                <w:color w:val="000000"/>
              </w:rPr>
              <w:br/>
              <w:t xml:space="preserve">- For Control spontaneous bleeding episodes or to cover surgical intervention in hemophilia A&amp; hemophilia B patients with inhibitors - Treatment of hemorrhage in non- hemophilic patients with  acquired factor VIII inhibitorsContraindicated - in patients with  normal coagulation mechanism in the absence of inhibitors to coagulation factors.- In the patients with DIC </w:t>
            </w:r>
            <w:r>
              <w:rPr>
                <w:rFonts w:ascii="Calibri" w:hAnsi="Calibri" w:cs="Calibri"/>
                <w:i/>
                <w:iCs/>
                <w:color w:val="000000"/>
              </w:rPr>
              <w:br/>
            </w:r>
            <w:r>
              <w:rPr>
                <w:rFonts w:ascii="Calibri" w:hAnsi="Calibri" w:cs="Times New Roman"/>
                <w:i/>
                <w:iCs/>
                <w:color w:val="000000"/>
                <w:rtl/>
              </w:rPr>
              <w:t>ج\1089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15-AA0-002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Carmustine 100mg I.V. Injection</w:t>
            </w:r>
            <w:r>
              <w:rPr>
                <w:rFonts w:ascii="Calibri" w:hAnsi="Calibri" w:cs="Calibri"/>
                <w:i/>
                <w:iCs/>
                <w:color w:val="000000"/>
              </w:rPr>
              <w:br/>
            </w:r>
            <w:r>
              <w:rPr>
                <w:rFonts w:ascii="Calibri" w:hAnsi="Calibri" w:cs="Times New Roman"/>
                <w:i/>
                <w:iCs/>
                <w:color w:val="000000"/>
                <w:rtl/>
              </w:rPr>
              <w:t xml:space="preserve">يخصص في مركز زراعة نخاع العظم </w:t>
            </w:r>
            <w:r>
              <w:rPr>
                <w:rFonts w:ascii="Calibri" w:hAnsi="Calibri" w:cs="Times New Roman"/>
                <w:i/>
                <w:iCs/>
                <w:color w:val="000000"/>
                <w:rtl/>
              </w:rPr>
              <w:lastRenderedPageBreak/>
              <w:t>في مدينة الطب</w:t>
            </w:r>
            <w:r>
              <w:rPr>
                <w:rFonts w:ascii="Calibri" w:hAnsi="Calibri" w:cs="Calibri"/>
                <w:i/>
                <w:iCs/>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15-AA0-024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Melphalan 50 mg (as HCl) powder for reconstitution vial ( with solvent-diluent )</w:t>
            </w:r>
            <w:r>
              <w:rPr>
                <w:rFonts w:ascii="Calibri" w:hAnsi="Calibri" w:cs="Times New Roman"/>
                <w:i/>
                <w:iCs/>
                <w:color w:val="000000"/>
                <w:rtl/>
              </w:rPr>
              <w:t>يخصص في مركز زراعة نخاع العظم في مدينة الطب</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17-000-034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Pralidoxime mesylate 1g/5ml (5ml) Ampoule         </w:t>
            </w:r>
            <w:r>
              <w:rPr>
                <w:rFonts w:ascii="Calibri" w:hAnsi="Calibri" w:cs="Times New Roman"/>
                <w:i/>
                <w:iCs/>
                <w:color w:val="000000"/>
                <w:rtl/>
              </w:rPr>
              <w:t>يتم تثبيت الاحتياج من قبل المركز الاستشاري لاستعلامات السموم حصرا + ذي قارتم اضافته الى قائمة ادوية الطوارئ ويتم توفيره في كافة المستشفيات الحاوية على ردهة طوارئ</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17-000-052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Succimer 100mg Capsule        </w:t>
            </w:r>
            <w:r>
              <w:rPr>
                <w:rFonts w:ascii="Calibri" w:hAnsi="Calibri" w:cs="Times New Roman"/>
                <w:i/>
                <w:iCs/>
                <w:color w:val="000000"/>
                <w:rtl/>
              </w:rPr>
              <w:t xml:space="preserve">احتياج طويل الامد </w:t>
            </w:r>
            <w:r>
              <w:rPr>
                <w:rFonts w:ascii="Calibri" w:hAnsi="Calibri" w:cs="Calibri"/>
                <w:i/>
                <w:iCs/>
                <w:color w:val="000000"/>
              </w:rPr>
              <w:t xml:space="preserve">(2022-2026)       </w:t>
            </w:r>
            <w:r>
              <w:rPr>
                <w:rFonts w:ascii="Calibri" w:hAnsi="Calibri" w:cs="Times New Roman"/>
                <w:i/>
                <w:iCs/>
                <w:color w:val="000000"/>
                <w:rtl/>
              </w:rPr>
              <w:t>يتم تثبيت الاحتياج من قبل المركز الاستشاري لاستعلامات السموم + ذي قار</w:t>
            </w:r>
            <w:r>
              <w:rPr>
                <w:rFonts w:ascii="Calibri" w:hAnsi="Calibri" w:cs="Calibri"/>
                <w:i/>
                <w:iCs/>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17-000-076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Activated Charcoal   50 g in suspension + sorbitol 96 g   - 240 ml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09-H00-010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Biotin (Vit H) 5 mg/ml  injection (disorder of Biotin metabolism)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09-H00-012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sodium benzoate 250 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09-Ebm-001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Good start soy plus DHA plus ARA from birth</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09-Ebm-004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Elemental and semi elemental formula  contain no galactose but of no benefict on long term.</w:t>
            </w:r>
            <w:r>
              <w:rPr>
                <w:rFonts w:ascii="Calibri" w:hAnsi="Calibri" w:cs="Calibri"/>
                <w:i/>
                <w:iCs/>
                <w:color w:val="000000"/>
              </w:rPr>
              <w:br/>
              <w:t xml:space="preserve">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09-Ebm-005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CHO modified formula nutritionally casein based cow s milk for lactose and galactose restricted diet(carbohydrate free mixture ).</w:t>
            </w:r>
            <w:r>
              <w:rPr>
                <w:rFonts w:ascii="Calibri" w:hAnsi="Calibri" w:cs="Calibri"/>
                <w:i/>
                <w:iCs/>
                <w:color w:val="000000"/>
              </w:rPr>
              <w:br/>
              <w:t>for infants as a sole source of nutrition or as supplementary feed for children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09-Ebp-001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milk formula for non ketotic hyperglycinemia patients suitable from birth.</w:t>
            </w:r>
            <w:r>
              <w:rPr>
                <w:rFonts w:ascii="Calibri" w:hAnsi="Calibri" w:cs="Calibri"/>
                <w:i/>
                <w:iCs/>
                <w:color w:val="000000"/>
              </w:rPr>
              <w:br/>
              <w:t>Glycine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r w:rsidR="00EF1076" w:rsidRPr="00167DD5" w:rsidTr="00F5037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17-000-027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Default="00EF1076">
            <w:pPr>
              <w:jc w:val="center"/>
              <w:rPr>
                <w:rFonts w:ascii="Calibri" w:hAnsi="Calibri" w:cs="Calibri"/>
                <w:i/>
                <w:iCs/>
                <w:color w:val="000000"/>
              </w:rPr>
            </w:pPr>
            <w:r>
              <w:rPr>
                <w:rFonts w:ascii="Calibri" w:hAnsi="Calibri" w:cs="Calibri"/>
                <w:i/>
                <w:iCs/>
                <w:color w:val="000000"/>
              </w:rPr>
              <w:t xml:space="preserve">Methylene blue 1% slow i.v. inj (10ml) Ampoule )          (  </w:t>
            </w:r>
            <w:r>
              <w:rPr>
                <w:rFonts w:ascii="Calibri" w:hAnsi="Calibri" w:cs="Times New Roman"/>
                <w:i/>
                <w:iCs/>
                <w:color w:val="000000"/>
                <w:rtl/>
              </w:rPr>
              <w:t>احتياج طويل الامد (2022-2026</w:t>
            </w:r>
            <w:r>
              <w:rPr>
                <w:rFonts w:ascii="Calibri" w:hAnsi="Calibri" w:cs="Calibri"/>
                <w:i/>
                <w:iCs/>
                <w:color w:val="000000"/>
              </w:rPr>
              <w:t xml:space="preserve">                                                 </w:t>
            </w:r>
            <w:r>
              <w:rPr>
                <w:rFonts w:ascii="Calibri" w:hAnsi="Calibri" w:cs="Times New Roman"/>
                <w:i/>
                <w:iCs/>
                <w:color w:val="000000"/>
                <w:rtl/>
              </w:rPr>
              <w:t xml:space="preserve">يتم تثبيت الاحتياج من قبل المركز الاستشاري لاستعلامات السموم+ ذي </w:t>
            </w:r>
            <w:r>
              <w:rPr>
                <w:rFonts w:ascii="Calibri" w:hAnsi="Calibri" w:cs="Times New Roman"/>
                <w:i/>
                <w:iCs/>
                <w:color w:val="000000"/>
                <w:rtl/>
              </w:rPr>
              <w:lastRenderedPageBreak/>
              <w:t>قار(0.45</w:t>
            </w:r>
            <w:r>
              <w:rPr>
                <w:rFonts w:ascii="Calibri" w:hAnsi="Calibri" w:cs="Calibri"/>
                <w:i/>
                <w:iCs/>
                <w:color w:val="000000"/>
              </w:rPr>
              <w:t xml:space="preserve"> micron) </w:t>
            </w:r>
            <w:r>
              <w:rPr>
                <w:rFonts w:ascii="Calibri" w:hAnsi="Calibri" w:cs="Times New Roman"/>
                <w:i/>
                <w:iCs/>
                <w:color w:val="000000"/>
                <w:rtl/>
              </w:rPr>
              <w:t>بقياس</w:t>
            </w:r>
            <w:r>
              <w:rPr>
                <w:rFonts w:ascii="Calibri" w:hAnsi="Calibri" w:cs="Calibri"/>
                <w:i/>
                <w:iCs/>
                <w:color w:val="000000"/>
              </w:rPr>
              <w:t xml:space="preserve"> ( sterile filter ) </w:t>
            </w:r>
            <w:r>
              <w:rPr>
                <w:rFonts w:ascii="Calibri" w:hAnsi="Calibri" w:cs="Times New Roman"/>
                <w:i/>
                <w:iCs/>
                <w:color w:val="000000"/>
                <w:rtl/>
              </w:rPr>
              <w:t>التأكيد على استخدام مرشح</w:t>
            </w:r>
            <w:r>
              <w:rPr>
                <w:rFonts w:ascii="Calibri" w:hAnsi="Calibri" w:cs="Calibri"/>
                <w:i/>
                <w:iCs/>
                <w:color w:val="000000"/>
              </w:rPr>
              <w:t xml:space="preserve">sterile filter ) </w:t>
            </w:r>
            <w:r>
              <w:rPr>
                <w:rFonts w:ascii="Calibri" w:hAnsi="Calibri" w:cs="Times New Roman"/>
                <w:i/>
                <w:iCs/>
                <w:color w:val="000000"/>
                <w:rtl/>
              </w:rPr>
              <w:t>التأكيد على استخدام مرشح</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EF1076" w:rsidRPr="00167DD5" w:rsidRDefault="00EF1076"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3"/>
          <w:headerReference w:type="first" r:id="rId14"/>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tblPr>
      <w:tblGrid>
        <w:gridCol w:w="10455"/>
      </w:tblGrid>
      <w:tr w:rsidR="00C32A53" w:rsidRPr="00C32A53" w:rsidTr="00C32A53">
        <w:tc>
          <w:tcPr>
            <w:tcW w:w="10455" w:type="dxa"/>
            <w:shd w:val="clear" w:color="auto" w:fill="D9D9D9" w:themeFill="background1" w:themeFillShade="D9"/>
          </w:tcPr>
          <w:bookmarkEnd w:id="27"/>
          <w:bookmarkEnd w:id="28"/>
          <w:bookmarkEnd w:id="29"/>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lastRenderedPageBreak/>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 xml:space="preserve">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w:t>
            </w:r>
            <w:r w:rsidRPr="006F42FC">
              <w:rPr>
                <w:rFonts w:hint="cs"/>
                <w:color w:val="000000"/>
                <w:szCs w:val="24"/>
                <w:rtl/>
              </w:rPr>
              <w:lastRenderedPageBreak/>
              <w:t>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EA21E4" w:rsidP="00C84617">
            <w:pPr>
              <w:pStyle w:val="Header"/>
              <w:tabs>
                <w:tab w:val="clear" w:pos="4680"/>
                <w:tab w:val="clear" w:pos="9360"/>
              </w:tabs>
              <w:bidi/>
              <w:spacing w:line="300" w:lineRule="exact"/>
              <w:ind w:left="-61"/>
              <w:jc w:val="both"/>
              <w:rPr>
                <w:rFonts w:cs="Arial"/>
                <w:color w:val="000000"/>
                <w:sz w:val="24"/>
                <w:szCs w:val="24"/>
                <w:rtl/>
                <w:lang w:bidi="ar-IQ"/>
              </w:rPr>
            </w:pPr>
            <w:hyperlink r:id="rId15"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6"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w:t>
            </w:r>
            <w:r w:rsidRPr="00E00D5D">
              <w:rPr>
                <w:rFonts w:hint="cs"/>
                <w:color w:val="000000"/>
                <w:sz w:val="24"/>
                <w:szCs w:val="24"/>
                <w:rtl/>
              </w:rPr>
              <w:lastRenderedPageBreak/>
              <w:t>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2"/>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3"/>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38D" w:rsidRDefault="00E9338D" w:rsidP="00400881">
      <w:pPr>
        <w:spacing w:after="0" w:line="240" w:lineRule="auto"/>
      </w:pPr>
      <w:r>
        <w:separator/>
      </w:r>
    </w:p>
  </w:endnote>
  <w:endnote w:type="continuationSeparator" w:id="1">
    <w:p w:rsidR="00E9338D" w:rsidRDefault="00E9338D" w:rsidP="004008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232893043"/>
      <w:docPartObj>
        <w:docPartGallery w:val="Page Numbers (Bottom of Page)"/>
        <w:docPartUnique/>
      </w:docPartObj>
    </w:sdtPr>
    <w:sdtEndPr>
      <w:rPr>
        <w:noProof/>
      </w:rPr>
    </w:sdtEndPr>
    <w:sdtContent>
      <w:p w:rsidR="00F5037C" w:rsidRPr="00D1391E" w:rsidRDefault="00EA21E4" w:rsidP="00D1391E">
        <w:pPr>
          <w:pStyle w:val="Footer"/>
          <w:jc w:val="center"/>
          <w:rPr>
            <w:sz w:val="24"/>
            <w:szCs w:val="24"/>
          </w:rPr>
        </w:pPr>
        <w:r w:rsidRPr="00D1391E">
          <w:rPr>
            <w:sz w:val="24"/>
            <w:szCs w:val="24"/>
          </w:rPr>
          <w:fldChar w:fldCharType="begin"/>
        </w:r>
        <w:r w:rsidR="00F5037C" w:rsidRPr="00D1391E">
          <w:rPr>
            <w:sz w:val="24"/>
            <w:szCs w:val="24"/>
          </w:rPr>
          <w:instrText xml:space="preserve"> PAGE   \* MERGEFORMAT </w:instrText>
        </w:r>
        <w:r w:rsidRPr="00D1391E">
          <w:rPr>
            <w:sz w:val="24"/>
            <w:szCs w:val="24"/>
          </w:rPr>
          <w:fldChar w:fldCharType="separate"/>
        </w:r>
        <w:r w:rsidR="00762B07">
          <w:rPr>
            <w:noProof/>
            <w:sz w:val="24"/>
            <w:szCs w:val="24"/>
          </w:rPr>
          <w:t>62</w:t>
        </w:r>
        <w:r w:rsidRPr="00D1391E">
          <w:rPr>
            <w:noProo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38D" w:rsidRDefault="00E9338D" w:rsidP="00400881">
      <w:pPr>
        <w:spacing w:after="0" w:line="240" w:lineRule="auto"/>
      </w:pPr>
      <w:r>
        <w:separator/>
      </w:r>
    </w:p>
  </w:footnote>
  <w:footnote w:type="continuationSeparator" w:id="1">
    <w:p w:rsidR="00E9338D" w:rsidRDefault="00E9338D" w:rsidP="00400881">
      <w:pPr>
        <w:spacing w:after="0" w:line="240" w:lineRule="auto"/>
      </w:pPr>
      <w:r>
        <w:continuationSeparator/>
      </w:r>
    </w:p>
  </w:footnote>
  <w:footnote w:id="2">
    <w:p w:rsidR="00F5037C" w:rsidRPr="00E00D5D" w:rsidRDefault="00F5037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3">
    <w:p w:rsidR="00F5037C" w:rsidRPr="003D09C4" w:rsidRDefault="00F5037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7C" w:rsidRDefault="00EA21E4">
    <w:pPr>
      <w:pStyle w:val="Header"/>
      <w:jc w:val="right"/>
    </w:pPr>
    <w:r w:rsidRPr="00EA21E4">
      <w:rPr>
        <w:lang w:val="en-GB"/>
      </w:rPr>
      <w:fldChar w:fldCharType="begin"/>
    </w:r>
    <w:r w:rsidR="00F5037C">
      <w:instrText>PAGE   \* MERGEFORMAT</w:instrText>
    </w:r>
    <w:r w:rsidRPr="00EA21E4">
      <w:rPr>
        <w:lang w:val="en-GB"/>
      </w:rPr>
      <w:fldChar w:fldCharType="separate"/>
    </w:r>
    <w:r w:rsidR="00F5037C" w:rsidRPr="00756778">
      <w:rPr>
        <w:noProof/>
        <w:lang w:val="fr-FR"/>
      </w:rPr>
      <w:t>48</w:t>
    </w:r>
    <w:r>
      <w:rPr>
        <w:noProof/>
        <w:lang w:val="fr-FR"/>
      </w:rPr>
      <w:fldChar w:fldCharType="end"/>
    </w:r>
  </w:p>
  <w:p w:rsidR="00F5037C" w:rsidRDefault="00F503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37C" w:rsidRDefault="00F5037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94CD7"/>
    <w:rsid w:val="001977E2"/>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153D"/>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005"/>
    <w:rsid w:val="00515868"/>
    <w:rsid w:val="00523C07"/>
    <w:rsid w:val="00524619"/>
    <w:rsid w:val="005257F0"/>
    <w:rsid w:val="00527ADB"/>
    <w:rsid w:val="00533CF4"/>
    <w:rsid w:val="0053566D"/>
    <w:rsid w:val="005376EF"/>
    <w:rsid w:val="005436EA"/>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62B0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28CA"/>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23056"/>
    <w:rsid w:val="00B26C0B"/>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763B5"/>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25FB3"/>
    <w:rsid w:val="00D30278"/>
    <w:rsid w:val="00D330CE"/>
    <w:rsid w:val="00D34323"/>
    <w:rsid w:val="00D40FB1"/>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A362E"/>
    <w:rsid w:val="00DB449E"/>
    <w:rsid w:val="00DB5A1F"/>
    <w:rsid w:val="00DC1578"/>
    <w:rsid w:val="00DC1DFE"/>
    <w:rsid w:val="00DD37CF"/>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338D"/>
    <w:rsid w:val="00E95EB5"/>
    <w:rsid w:val="00EA21E4"/>
    <w:rsid w:val="00EA4F08"/>
    <w:rsid w:val="00EA5B25"/>
    <w:rsid w:val="00EC6693"/>
    <w:rsid w:val="00EC7A99"/>
    <w:rsid w:val="00EC7C54"/>
    <w:rsid w:val="00EC7EC3"/>
    <w:rsid w:val="00ED10EA"/>
    <w:rsid w:val="00ED3434"/>
    <w:rsid w:val="00ED622E"/>
    <w:rsid w:val="00ED7F32"/>
    <w:rsid w:val="00EF03B0"/>
    <w:rsid w:val="00EF1076"/>
    <w:rsid w:val="00EF360C"/>
    <w:rsid w:val="00F0225B"/>
    <w:rsid w:val="00F03283"/>
    <w:rsid w:val="00F03753"/>
    <w:rsid w:val="00F03D1A"/>
    <w:rsid w:val="00F10C65"/>
    <w:rsid w:val="00F12742"/>
    <w:rsid w:val="00F207B7"/>
    <w:rsid w:val="00F20CCC"/>
    <w:rsid w:val="00F21788"/>
    <w:rsid w:val="00F27793"/>
    <w:rsid w:val="00F35E7A"/>
    <w:rsid w:val="00F36755"/>
    <w:rsid w:val="00F37097"/>
    <w:rsid w:val="00F40700"/>
    <w:rsid w:val="00F40F9A"/>
    <w:rsid w:val="00F43048"/>
    <w:rsid w:val="00F5037C"/>
    <w:rsid w:val="00F5677F"/>
    <w:rsid w:val="00F61D66"/>
    <w:rsid w:val="00F63E18"/>
    <w:rsid w:val="00F836D8"/>
    <w:rsid w:val="00F9582B"/>
    <w:rsid w:val="00F95B66"/>
    <w:rsid w:val="00FA449B"/>
    <w:rsid w:val="00FA55AF"/>
    <w:rsid w:val="00FB296E"/>
    <w:rsid w:val="00FB4C0E"/>
    <w:rsid w:val="00FB5348"/>
    <w:rsid w:val="00FC0223"/>
    <w:rsid w:val="00FC3C26"/>
    <w:rsid w:val="00FC6719"/>
    <w:rsid w:val="00FD17B3"/>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FB1"/>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yperlink" Target="mailto:%20&#1575;&#1604;&#1576;&#1585;&#1610;&#1583;" TargetMode="External"/><Relationship Id="rId10" Type="http://schemas.openxmlformats.org/officeDocument/2006/relationships/hyperlink" Target="mailto:&#1608;&#1575;&#1604;&#1576;&#1585;&#1610;&#1583;"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C6268-FA66-4B2B-921D-FEEEB0BB2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30143</Words>
  <Characters>171818</Characters>
  <Application>Microsoft Office Word</Application>
  <DocSecurity>0</DocSecurity>
  <Lines>1431</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45</cp:revision>
  <cp:lastPrinted>2022-09-07T09:25:00Z</cp:lastPrinted>
  <dcterms:created xsi:type="dcterms:W3CDTF">2022-02-15T07:51:00Z</dcterms:created>
  <dcterms:modified xsi:type="dcterms:W3CDTF">2023-02-20T11:10:00Z</dcterms:modified>
</cp:coreProperties>
</file>