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A40881">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A40881">
              <w:rPr>
                <w:rFonts w:ascii="Simplified Arabic" w:hAnsi="Simplified Arabic" w:cs="Simplified Arabic"/>
                <w:b/>
                <w:bCs/>
                <w:color w:val="000000"/>
                <w:sz w:val="24"/>
                <w:szCs w:val="24"/>
                <w:highlight w:val="cyan"/>
                <w:lang w:bidi="ar-LB"/>
              </w:rPr>
              <w:t>1</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6C6701">
              <w:rPr>
                <w:sz w:val="24"/>
                <w:szCs w:val="24"/>
              </w:rPr>
              <w:t>/</w:t>
            </w:r>
            <w:r w:rsidR="00A40881">
              <w:rPr>
                <w:sz w:val="24"/>
                <w:szCs w:val="24"/>
              </w:rPr>
              <w:t>C</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A40881">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day</w:t>
            </w:r>
            <w:r w:rsidRPr="008D12BA">
              <w:rPr>
                <w:rFonts w:ascii="Arial" w:hAnsi="Arial"/>
                <w:sz w:val="24"/>
                <w:szCs w:val="24"/>
                <w:highlight w:val="cyan"/>
              </w:rPr>
              <w:t xml:space="preserve">)…      </w:t>
            </w:r>
            <w:r w:rsidR="00A40881">
              <w:rPr>
                <w:rFonts w:ascii="Arial" w:hAnsi="Arial"/>
                <w:sz w:val="24"/>
                <w:szCs w:val="24"/>
                <w:highlight w:val="cyan"/>
              </w:rPr>
              <w:t>4</w:t>
            </w:r>
            <w:r w:rsidRPr="008D12BA">
              <w:rPr>
                <w:rFonts w:ascii="Arial" w:hAnsi="Arial"/>
                <w:sz w:val="24"/>
                <w:szCs w:val="24"/>
                <w:highlight w:val="cyan"/>
              </w:rPr>
              <w:t xml:space="preserve"> /</w:t>
            </w:r>
            <w:r w:rsidR="00A40881">
              <w:rPr>
                <w:rFonts w:ascii="Arial" w:hAnsi="Arial"/>
                <w:sz w:val="24"/>
                <w:szCs w:val="24"/>
                <w:highlight w:val="cyan"/>
              </w:rPr>
              <w:t>4</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A40881">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A40881">
              <w:rPr>
                <w:rFonts w:ascii="Arial" w:hAnsi="Arial"/>
                <w:spacing w:val="-2"/>
                <w:sz w:val="24"/>
                <w:szCs w:val="24"/>
                <w:highlight w:val="cyan"/>
              </w:rPr>
              <w:t>1</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6C6701">
              <w:rPr>
                <w:rFonts w:ascii="Arial" w:hAnsi="Arial"/>
                <w:spacing w:val="-2"/>
                <w:sz w:val="24"/>
                <w:szCs w:val="24"/>
                <w:highlight w:val="yellow"/>
              </w:rPr>
              <w:t>/</w:t>
            </w:r>
            <w:r w:rsidR="00A40881">
              <w:rPr>
                <w:rFonts w:ascii="Arial" w:hAnsi="Arial"/>
                <w:spacing w:val="-2"/>
                <w:sz w:val="24"/>
                <w:szCs w:val="24"/>
                <w:highlight w:val="yellow"/>
              </w:rPr>
              <w:t>C</w:t>
            </w:r>
            <w:r w:rsidR="006C6701">
              <w:rPr>
                <w:rFonts w:ascii="Arial" w:hAnsi="Arial"/>
                <w:spacing w:val="-2"/>
                <w:sz w:val="24"/>
                <w:szCs w:val="24"/>
                <w:highlight w:val="yellow"/>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9"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A40881">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A40881">
              <w:rPr>
                <w:sz w:val="24"/>
                <w:szCs w:val="24"/>
              </w:rPr>
              <w:t>4</w:t>
            </w:r>
            <w:r w:rsidRPr="008D12BA">
              <w:rPr>
                <w:sz w:val="24"/>
                <w:szCs w:val="24"/>
                <w:highlight w:val="cyan"/>
              </w:rPr>
              <w:t xml:space="preserve">/ </w:t>
            </w:r>
            <w:r w:rsidR="00A40881">
              <w:rPr>
                <w:sz w:val="24"/>
                <w:szCs w:val="24"/>
                <w:highlight w:val="cyan"/>
              </w:rPr>
              <w:t>4</w:t>
            </w:r>
            <w:r w:rsidRPr="008D12BA">
              <w:rPr>
                <w:sz w:val="24"/>
                <w:szCs w:val="24"/>
                <w:highlight w:val="cyan"/>
              </w:rPr>
              <w:t xml:space="preserve"> /202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287142">
              <w:rPr>
                <w:sz w:val="24"/>
                <w:szCs w:val="24"/>
                <w:highlight w:val="cyan"/>
              </w:rPr>
              <w:t xml:space="preserve">          </w:t>
            </w:r>
            <w:r w:rsidR="00A40881">
              <w:rPr>
                <w:sz w:val="24"/>
                <w:szCs w:val="24"/>
                <w:highlight w:val="cyan"/>
              </w:rPr>
              <w:t xml:space="preserve">  </w:t>
            </w:r>
            <w:r w:rsidR="00287142">
              <w:rPr>
                <w:sz w:val="24"/>
                <w:szCs w:val="24"/>
                <w:highlight w:val="cyan"/>
              </w:rPr>
              <w:t xml:space="preserve">  </w:t>
            </w:r>
            <w:r w:rsidRPr="008D12BA">
              <w:rPr>
                <w:sz w:val="24"/>
                <w:szCs w:val="24"/>
                <w:highlight w:val="cyan"/>
              </w:rPr>
              <w:t xml:space="preserve">  </w:t>
            </w:r>
            <w:r w:rsidR="00A40881">
              <w:rPr>
                <w:sz w:val="24"/>
                <w:szCs w:val="24"/>
                <w:highlight w:val="cyan"/>
              </w:rPr>
              <w:t>11</w:t>
            </w:r>
            <w:r w:rsidRPr="008D12BA">
              <w:rPr>
                <w:sz w:val="24"/>
                <w:szCs w:val="24"/>
                <w:highlight w:val="cyan"/>
              </w:rPr>
              <w:t xml:space="preserve"> /     </w:t>
            </w:r>
            <w:r w:rsidR="00287142">
              <w:rPr>
                <w:sz w:val="24"/>
                <w:szCs w:val="24"/>
                <w:highlight w:val="cyan"/>
              </w:rPr>
              <w:t>4</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A40881">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r w:rsidRPr="006C6701">
              <w:rPr>
                <w:sz w:val="24"/>
                <w:szCs w:val="24"/>
              </w:rPr>
              <w:t>on</w:t>
            </w:r>
            <w:r w:rsidR="006C6701">
              <w:rPr>
                <w:rFonts w:ascii="Arial" w:hAnsi="Arial"/>
                <w:sz w:val="24"/>
                <w:szCs w:val="24"/>
                <w:highlight w:val="cyan"/>
              </w:rPr>
              <w:t xml:space="preserve"> </w:t>
            </w:r>
            <w:r w:rsidR="00A40881">
              <w:rPr>
                <w:rFonts w:ascii="Arial" w:hAnsi="Arial"/>
                <w:sz w:val="24"/>
                <w:szCs w:val="24"/>
                <w:highlight w:val="cyan"/>
              </w:rPr>
              <w:t>19</w:t>
            </w:r>
            <w:r w:rsidRPr="008D12BA">
              <w:rPr>
                <w:rFonts w:ascii="Arial" w:hAnsi="Arial"/>
                <w:sz w:val="24"/>
                <w:szCs w:val="24"/>
                <w:highlight w:val="cyan"/>
              </w:rPr>
              <w:t xml:space="preserve"> / </w:t>
            </w:r>
            <w:r w:rsidR="00287142">
              <w:rPr>
                <w:rFonts w:ascii="Arial" w:hAnsi="Arial"/>
                <w:sz w:val="24"/>
                <w:szCs w:val="24"/>
                <w:highlight w:val="cyan"/>
              </w:rPr>
              <w:t>4</w:t>
            </w:r>
            <w:r w:rsidRPr="008D12BA">
              <w:rPr>
                <w:rFonts w:ascii="Arial" w:hAnsi="Arial"/>
                <w:sz w:val="24"/>
                <w:szCs w:val="24"/>
                <w:highlight w:val="cyan"/>
              </w:rPr>
              <w:t xml:space="preserve">  /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(private&amp;secret)sendtoMinistry of Health / The State Company For Marketing Drug Medical Appliances (kimadia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2601" w:type="dxa"/>
        <w:tblLook w:val="04A0"/>
      </w:tblPr>
      <w:tblGrid>
        <w:gridCol w:w="604"/>
        <w:gridCol w:w="1395"/>
        <w:gridCol w:w="2737"/>
        <w:gridCol w:w="1274"/>
        <w:gridCol w:w="2259"/>
        <w:gridCol w:w="1048"/>
        <w:gridCol w:w="1175"/>
        <w:gridCol w:w="1103"/>
        <w:gridCol w:w="975"/>
        <w:gridCol w:w="31"/>
      </w:tblGrid>
      <w:tr w:rsidR="00704953" w:rsidTr="005336FA">
        <w:trPr>
          <w:gridAfter w:val="1"/>
          <w:wAfter w:w="31" w:type="dxa"/>
          <w:trHeight w:val="841"/>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A40881">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40881">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404347">
              <w:rPr>
                <w:rFonts w:ascii="Arial" w:eastAsia="Times New Roman" w:hAnsi="Arial"/>
                <w:b/>
                <w:bCs/>
                <w:sz w:val="24"/>
                <w:szCs w:val="24"/>
                <w:u w:val="single"/>
              </w:rPr>
              <w:t>/</w:t>
            </w:r>
            <w:r w:rsidR="00A40881">
              <w:rPr>
                <w:rFonts w:ascii="Arial" w:eastAsia="Times New Roman" w:hAnsi="Arial"/>
                <w:b/>
                <w:bCs/>
                <w:sz w:val="24"/>
                <w:szCs w:val="24"/>
                <w:u w:val="single"/>
              </w:rPr>
              <w:t>C</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5336FA">
        <w:trPr>
          <w:gridAfter w:val="1"/>
          <w:wAfter w:w="31" w:type="dxa"/>
        </w:trPr>
        <w:tc>
          <w:tcPr>
            <w:tcW w:w="12570" w:type="dxa"/>
            <w:gridSpan w:val="9"/>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5336FA">
        <w:trPr>
          <w:gridAfter w:val="1"/>
          <w:wAfter w:w="31" w:type="dxa"/>
          <w:trHeight w:val="530"/>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704953" w:rsidTr="005336FA">
        <w:trPr>
          <w:gridAfter w:val="1"/>
          <w:wAfter w:w="31" w:type="dxa"/>
        </w:trPr>
        <w:tc>
          <w:tcPr>
            <w:tcW w:w="12570" w:type="dxa"/>
            <w:gridSpan w:val="9"/>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704953" w:rsidRPr="00844D38" w:rsidTr="005336FA">
        <w:trPr>
          <w:trHeight w:val="900"/>
        </w:trPr>
        <w:tc>
          <w:tcPr>
            <w:tcW w:w="604"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395"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national_c</w:t>
            </w:r>
          </w:p>
        </w:tc>
        <w:tc>
          <w:tcPr>
            <w:tcW w:w="2737"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274" w:type="dxa"/>
            <w:hideMark/>
          </w:tcPr>
          <w:p w:rsidR="00704953" w:rsidRPr="00844D38" w:rsidRDefault="00704953" w:rsidP="00126F30">
            <w:pPr>
              <w:jc w:val="center"/>
              <w:rPr>
                <w:rFonts w:eastAsia="Times New Roman" w:cs="Calibri"/>
                <w:b/>
                <w:bCs/>
                <w:color w:val="000000"/>
              </w:rPr>
            </w:pPr>
            <w:r w:rsidRPr="00844D38">
              <w:rPr>
                <w:rFonts w:eastAsia="Times New Roman" w:cs="Calibri"/>
                <w:b/>
                <w:bCs/>
                <w:color w:val="000000"/>
              </w:rPr>
              <w:t>TOTAL202</w:t>
            </w:r>
            <w:r w:rsidR="00126F30">
              <w:rPr>
                <w:rFonts w:eastAsia="Times New Roman" w:cs="Calibri"/>
                <w:b/>
                <w:bCs/>
                <w:color w:val="000000"/>
              </w:rPr>
              <w:t>4</w:t>
            </w:r>
          </w:p>
        </w:tc>
        <w:tc>
          <w:tcPr>
            <w:tcW w:w="2259"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48"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175"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103"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006" w:type="dxa"/>
            <w:gridSpan w:val="2"/>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A40881" w:rsidRPr="00844D38" w:rsidTr="00A40881">
        <w:trPr>
          <w:trHeight w:val="2483"/>
        </w:trPr>
        <w:tc>
          <w:tcPr>
            <w:tcW w:w="604" w:type="dxa"/>
            <w:vAlign w:val="center"/>
          </w:tcPr>
          <w:p w:rsidR="00A40881" w:rsidRDefault="00A40881">
            <w:pPr>
              <w:jc w:val="center"/>
              <w:rPr>
                <w:rFonts w:ascii="Calibri" w:hAnsi="Calibri" w:cs="Calibri"/>
                <w:color w:val="000000"/>
              </w:rPr>
            </w:pPr>
            <w:r>
              <w:rPr>
                <w:rFonts w:ascii="Calibri" w:hAnsi="Calibri" w:cs="Calibri"/>
                <w:color w:val="000000"/>
              </w:rPr>
              <w:t>1</w:t>
            </w:r>
          </w:p>
        </w:tc>
        <w:tc>
          <w:tcPr>
            <w:tcW w:w="1395" w:type="dxa"/>
            <w:vAlign w:val="center"/>
          </w:tcPr>
          <w:p w:rsidR="00A40881" w:rsidRDefault="00A40881">
            <w:pPr>
              <w:jc w:val="center"/>
              <w:rPr>
                <w:rFonts w:ascii="Calibri" w:hAnsi="Calibri" w:cs="Calibri"/>
                <w:color w:val="000000"/>
              </w:rPr>
            </w:pPr>
            <w:r>
              <w:rPr>
                <w:rFonts w:ascii="Calibri" w:hAnsi="Calibri" w:cs="Calibri"/>
                <w:color w:val="000000"/>
              </w:rPr>
              <w:t>08-D00-003</w:t>
            </w:r>
          </w:p>
        </w:tc>
        <w:tc>
          <w:tcPr>
            <w:tcW w:w="2737" w:type="dxa"/>
            <w:vAlign w:val="center"/>
          </w:tcPr>
          <w:p w:rsidR="00A40881" w:rsidRDefault="00A40881">
            <w:pPr>
              <w:jc w:val="center"/>
              <w:rPr>
                <w:rFonts w:ascii="Calibri" w:hAnsi="Calibri" w:cs="Calibri"/>
                <w:color w:val="000000"/>
              </w:rPr>
            </w:pPr>
            <w:r>
              <w:rPr>
                <w:rFonts w:ascii="Calibri" w:hAnsi="Calibri" w:cs="Calibri"/>
                <w:color w:val="000000"/>
              </w:rPr>
              <w:t>Protamine sulphate 10mg/ml (with minimum of  90 anti-heparin IU/mg) slow I.V. over 10 minutes (5ml) IVor  I.V. and S.C Ampoule OR Vial  and the giving quantity according to the lab. Analysis</w:t>
            </w:r>
          </w:p>
        </w:tc>
        <w:tc>
          <w:tcPr>
            <w:tcW w:w="1274" w:type="dxa"/>
            <w:vAlign w:val="center"/>
          </w:tcPr>
          <w:p w:rsidR="00A40881" w:rsidRDefault="00A40881">
            <w:pPr>
              <w:jc w:val="center"/>
              <w:rPr>
                <w:rFonts w:ascii="Calibri" w:hAnsi="Calibri" w:cs="Calibri"/>
                <w:color w:val="000000"/>
              </w:rPr>
            </w:pPr>
            <w:r>
              <w:rPr>
                <w:rFonts w:ascii="Calibri" w:hAnsi="Calibri" w:cs="Calibri"/>
                <w:color w:val="000000"/>
              </w:rPr>
              <w:t>21170</w:t>
            </w:r>
          </w:p>
        </w:tc>
        <w:tc>
          <w:tcPr>
            <w:tcW w:w="2259" w:type="dxa"/>
            <w:vAlign w:val="center"/>
          </w:tcPr>
          <w:p w:rsidR="00A40881" w:rsidRDefault="00A40881">
            <w:pPr>
              <w:jc w:val="center"/>
              <w:rPr>
                <w:rFonts w:ascii="Arial" w:hAnsi="Arial" w:cs="Arial"/>
                <w:color w:val="000000"/>
                <w:sz w:val="16"/>
                <w:szCs w:val="16"/>
              </w:rPr>
            </w:pPr>
            <w:r>
              <w:rPr>
                <w:rFonts w:ascii="Arial" w:hAnsi="Arial" w:cs="Arial"/>
                <w:color w:val="000000"/>
                <w:sz w:val="16"/>
                <w:szCs w:val="16"/>
              </w:rPr>
              <w:t>1 vial</w:t>
            </w:r>
          </w:p>
        </w:tc>
        <w:tc>
          <w:tcPr>
            <w:tcW w:w="1048" w:type="dxa"/>
            <w:vAlign w:val="center"/>
          </w:tcPr>
          <w:p w:rsidR="00A40881" w:rsidRDefault="00A40881">
            <w:pPr>
              <w:jc w:val="center"/>
              <w:rPr>
                <w:rFonts w:ascii="Arial" w:hAnsi="Arial" w:cs="Arial"/>
                <w:color w:val="000000"/>
                <w:sz w:val="16"/>
                <w:szCs w:val="16"/>
              </w:rPr>
            </w:pPr>
            <w:r>
              <w:rPr>
                <w:rFonts w:ascii="Arial" w:hAnsi="Arial" w:cs="Arial"/>
                <w:color w:val="000000"/>
                <w:sz w:val="16"/>
                <w:szCs w:val="16"/>
              </w:rPr>
              <w:t>5</w:t>
            </w:r>
          </w:p>
        </w:tc>
        <w:tc>
          <w:tcPr>
            <w:tcW w:w="1175" w:type="dxa"/>
            <w:vAlign w:val="center"/>
          </w:tcPr>
          <w:p w:rsidR="00A40881" w:rsidRDefault="00A40881">
            <w:pPr>
              <w:jc w:val="center"/>
              <w:rPr>
                <w:rFonts w:ascii="Arial" w:hAnsi="Arial" w:cs="Arial"/>
                <w:color w:val="000000"/>
                <w:sz w:val="16"/>
                <w:szCs w:val="16"/>
              </w:rPr>
            </w:pPr>
            <w:r>
              <w:rPr>
                <w:rFonts w:ascii="Arial" w:hAnsi="Arial" w:cs="Arial"/>
                <w:color w:val="000000"/>
                <w:sz w:val="16"/>
                <w:szCs w:val="16"/>
              </w:rPr>
              <w:t>3.5</w:t>
            </w:r>
          </w:p>
        </w:tc>
        <w:tc>
          <w:tcPr>
            <w:tcW w:w="1103" w:type="dxa"/>
            <w:vAlign w:val="center"/>
          </w:tcPr>
          <w:p w:rsidR="00A40881" w:rsidRDefault="00A40881">
            <w:pPr>
              <w:jc w:val="center"/>
              <w:rPr>
                <w:rFonts w:ascii="Arial" w:hAnsi="Arial" w:cs="Arial"/>
                <w:color w:val="000000"/>
                <w:sz w:val="16"/>
                <w:szCs w:val="16"/>
              </w:rPr>
            </w:pPr>
            <w:r>
              <w:rPr>
                <w:rFonts w:ascii="Arial" w:hAnsi="Arial" w:cs="Arial"/>
                <w:color w:val="000000"/>
                <w:sz w:val="16"/>
                <w:szCs w:val="16"/>
              </w:rPr>
              <w:t>2.25</w:t>
            </w:r>
          </w:p>
        </w:tc>
        <w:tc>
          <w:tcPr>
            <w:tcW w:w="1006" w:type="dxa"/>
            <w:gridSpan w:val="2"/>
            <w:vAlign w:val="center"/>
          </w:tcPr>
          <w:p w:rsidR="00A40881" w:rsidRDefault="00A40881">
            <w:pPr>
              <w:jc w:val="center"/>
              <w:rPr>
                <w:rFonts w:ascii="Arial" w:hAnsi="Arial" w:cs="Arial"/>
                <w:color w:val="000000"/>
                <w:sz w:val="16"/>
                <w:szCs w:val="16"/>
              </w:rPr>
            </w:pPr>
            <w:r>
              <w:rPr>
                <w:rFonts w:ascii="Arial" w:hAnsi="Arial" w:cs="Arial"/>
                <w:color w:val="000000"/>
                <w:sz w:val="16"/>
                <w:szCs w:val="16"/>
              </w:rPr>
              <w:t>1.25</w:t>
            </w:r>
          </w:p>
        </w:tc>
      </w:tr>
    </w:tbl>
    <w:p w:rsidR="00704953" w:rsidRDefault="00704953"/>
    <w:p w:rsidR="00704953" w:rsidRDefault="00704953"/>
    <w:p w:rsidR="00704953" w:rsidRDefault="00704953"/>
    <w:p w:rsidR="00D36B35" w:rsidRDefault="00D36B35"/>
    <w:p w:rsidR="0064721A" w:rsidRDefault="0064721A"/>
    <w:p w:rsidR="0064721A" w:rsidRDefault="0064721A"/>
    <w:p w:rsidR="00D91855" w:rsidRDefault="00D91855"/>
    <w:p w:rsidR="00D91855" w:rsidRDefault="00D91855"/>
    <w:p w:rsidR="00D91855" w:rsidRDefault="00D91855"/>
    <w:p w:rsidR="005336FA" w:rsidRDefault="005336FA"/>
    <w:p w:rsidR="005336FA" w:rsidRDefault="005336FA"/>
    <w:p w:rsidR="005336FA" w:rsidRDefault="005336FA"/>
    <w:p w:rsidR="005336FA" w:rsidRDefault="005336FA"/>
    <w:p w:rsidR="005336FA" w:rsidRDefault="005336FA"/>
    <w:p w:rsidR="00D91855" w:rsidRDefault="00D91855"/>
    <w:p w:rsidR="00D91855" w:rsidRDefault="00D91855"/>
    <w:p w:rsidR="00D91855" w:rsidRDefault="00D91855"/>
    <w:tbl>
      <w:tblPr>
        <w:tblStyle w:val="TableGrid"/>
        <w:tblW w:w="0" w:type="auto"/>
        <w:tblLook w:val="04A0"/>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(1)  “corrupt practice” is the offering, giving, receiving or soliciting, directly or indirectly, of anything of value to influence </w:t>
            </w:r>
            <w:r w:rsidRPr="008D12BA">
              <w:rPr>
                <w:rFonts w:ascii="Arial Narrow" w:hAnsi="Arial Narrow"/>
                <w:sz w:val="24"/>
                <w:szCs w:val="24"/>
              </w:rPr>
              <w:lastRenderedPageBreak/>
              <w:t>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B. The</w:t>
            </w:r>
            <w:bookmarkEnd w:id="3"/>
            <w:bookmarkEnd w:id="4"/>
            <w:r w:rsidRPr="008D12BA">
              <w:rPr>
                <w:color w:val="auto"/>
                <w:sz w:val="24"/>
                <w:szCs w:val="24"/>
              </w:rPr>
              <w:t>Tender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rsidR="00C50F1C" w:rsidRDefault="00C50F1C"/>
    <w:tbl>
      <w:tblPr>
        <w:tblStyle w:val="TableGrid"/>
        <w:tblW w:w="12342" w:type="dxa"/>
        <w:tblInd w:w="-185" w:type="dxa"/>
        <w:tblLayout w:type="fixed"/>
        <w:tblLook w:val="04A0"/>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A4088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 xml:space="preserve">Med/ </w:t>
            </w:r>
            <w:r w:rsidR="00A40881">
              <w:rPr>
                <w:rFonts w:ascii="Arial" w:hAnsi="Arial"/>
                <w:b/>
                <w:spacing w:val="-2"/>
                <w:sz w:val="24"/>
                <w:szCs w:val="24"/>
                <w:highlight w:val="cyan"/>
              </w:rPr>
              <w:t>1</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404347">
              <w:rPr>
                <w:rFonts w:ascii="Arial" w:hAnsi="Arial"/>
                <w:b/>
                <w:spacing w:val="-2"/>
                <w:sz w:val="24"/>
                <w:szCs w:val="24"/>
                <w:highlight w:val="cyan"/>
              </w:rPr>
              <w:t>/</w:t>
            </w:r>
            <w:r w:rsidR="00A40881">
              <w:rPr>
                <w:rFonts w:ascii="Arial" w:hAnsi="Arial"/>
                <w:b/>
                <w:spacing w:val="-2"/>
                <w:sz w:val="24"/>
                <w:szCs w:val="24"/>
                <w:highlight w:val="cyan"/>
              </w:rPr>
              <w:t>C</w:t>
            </w:r>
            <w:r w:rsidR="00404347">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210249">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210249">
              <w:rPr>
                <w:rFonts w:ascii="Arial" w:hAnsi="Arial"/>
                <w:bCs/>
                <w:spacing w:val="-2"/>
                <w:sz w:val="24"/>
                <w:szCs w:val="24"/>
              </w:rPr>
              <w:t>5</w:t>
            </w:r>
          </w:p>
          <w:p w:rsidR="00672659" w:rsidRPr="004D22E1" w:rsidRDefault="00672659" w:rsidP="00404347">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404347">
              <w:rPr>
                <w:rFonts w:ascii="Arial" w:hAnsi="Arial"/>
                <w:b/>
                <w:sz w:val="24"/>
                <w:szCs w:val="24"/>
              </w:rPr>
              <w:t>3</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A4088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A40881">
              <w:rPr>
                <w:rFonts w:ascii="Arial" w:hAnsi="Arial"/>
                <w:b/>
                <w:sz w:val="24"/>
                <w:szCs w:val="24"/>
                <w:highlight w:val="yellow"/>
                <w:lang w:val="en-GB"/>
              </w:rPr>
              <w:t>4</w:t>
            </w:r>
            <w:r w:rsidRPr="004D22E1">
              <w:rPr>
                <w:rFonts w:ascii="Arial" w:hAnsi="Arial"/>
                <w:b/>
                <w:sz w:val="24"/>
                <w:szCs w:val="24"/>
                <w:highlight w:val="yellow"/>
                <w:lang w:val="en-GB"/>
              </w:rPr>
              <w:t xml:space="preserve"> /  </w:t>
            </w:r>
            <w:r w:rsidR="00A40881">
              <w:rPr>
                <w:rFonts w:ascii="Arial" w:hAnsi="Arial"/>
                <w:b/>
                <w:sz w:val="24"/>
                <w:szCs w:val="24"/>
                <w:highlight w:val="yellow"/>
                <w:lang w:val="en-GB"/>
              </w:rPr>
              <w:t>4</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A- when dealing with foreign balcklisted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contracts with other countries and neighboring countries of Iraq provided that such prices should be attached to the tender supported by a confirmation ,stamp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A40881">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A40881">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w:t>
            </w:r>
            <w:r w:rsidR="00A40881">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A40881">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404347">
              <w:rPr>
                <w:rFonts w:ascii="Arial Narrow" w:eastAsia="Calibri" w:hAnsi="Arial Narrow" w:cs="Arial"/>
                <w:sz w:val="24"/>
                <w:szCs w:val="24"/>
              </w:rPr>
              <w:t xml:space="preserve"> </w:t>
            </w:r>
            <w:r w:rsidR="00A40881">
              <w:rPr>
                <w:rFonts w:ascii="Arial Narrow" w:eastAsia="Calibri" w:hAnsi="Arial Narrow" w:cs="Arial"/>
                <w:sz w:val="24"/>
                <w:szCs w:val="24"/>
              </w:rPr>
              <w:t>2</w:t>
            </w:r>
            <w:r w:rsidR="00404347">
              <w:rPr>
                <w:rFonts w:ascii="Arial Narrow" w:eastAsia="Calibri" w:hAnsi="Arial Narrow" w:cs="Arial"/>
                <w:sz w:val="24"/>
                <w:szCs w:val="24"/>
              </w:rPr>
              <w:t>/</w:t>
            </w:r>
            <w:r w:rsidRPr="004D22E1">
              <w:rPr>
                <w:rFonts w:ascii="Arial Narrow" w:eastAsia="Calibri" w:hAnsi="Arial Narrow" w:cs="Arial"/>
                <w:sz w:val="24"/>
                <w:szCs w:val="24"/>
                <w:highlight w:val="cyan"/>
              </w:rPr>
              <w:t xml:space="preserve"> </w:t>
            </w:r>
            <w:r w:rsidR="00A40881">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A4088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 xml:space="preserve">Med/  </w:t>
            </w:r>
            <w:r w:rsidR="00A40881">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404347">
              <w:rPr>
                <w:rFonts w:ascii="Arial" w:hAnsi="Arial"/>
                <w:bCs/>
                <w:spacing w:val="-2"/>
                <w:sz w:val="24"/>
                <w:szCs w:val="24"/>
              </w:rPr>
              <w:t>/</w:t>
            </w:r>
            <w:r w:rsidR="00A40881">
              <w:rPr>
                <w:rFonts w:ascii="Arial" w:hAnsi="Arial"/>
                <w:bCs/>
                <w:spacing w:val="-2"/>
                <w:sz w:val="24"/>
                <w:szCs w:val="24"/>
              </w:rPr>
              <w:t>C</w:t>
            </w:r>
          </w:p>
          <w:p w:rsidR="00672659" w:rsidRPr="004D22E1" w:rsidRDefault="00672659" w:rsidP="00210249">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210249">
              <w:rPr>
                <w:rFonts w:ascii="Arial" w:hAnsi="Arial"/>
                <w:bCs/>
                <w:spacing w:val="-2"/>
                <w:sz w:val="24"/>
                <w:szCs w:val="24"/>
                <w:u w:val="single"/>
              </w:rPr>
              <w:t>5</w:t>
            </w:r>
            <w:r w:rsidRPr="004D22E1">
              <w:rPr>
                <w:rFonts w:ascii="Arial" w:hAnsi="Arial"/>
                <w:bCs/>
                <w:spacing w:val="-2"/>
                <w:sz w:val="24"/>
                <w:szCs w:val="24"/>
                <w:u w:val="single"/>
              </w:rPr>
              <w:t>:</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A40881">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A40881">
              <w:rPr>
                <w:rFonts w:ascii="Arial" w:hAnsi="Arial"/>
                <w:sz w:val="24"/>
                <w:szCs w:val="24"/>
                <w:highlight w:val="yellow"/>
                <w:lang w:val="en-GB"/>
              </w:rPr>
              <w:t>19</w:t>
            </w:r>
            <w:r w:rsidRPr="008C600C">
              <w:rPr>
                <w:rFonts w:ascii="Arial" w:hAnsi="Arial"/>
                <w:sz w:val="24"/>
                <w:szCs w:val="24"/>
                <w:highlight w:val="yellow"/>
                <w:lang w:val="en-GB"/>
              </w:rPr>
              <w:t xml:space="preserve">  /    </w:t>
            </w:r>
            <w:r w:rsidR="00287142">
              <w:rPr>
                <w:rFonts w:ascii="Arial" w:hAnsi="Arial"/>
                <w:sz w:val="24"/>
                <w:szCs w:val="24"/>
                <w:highlight w:val="yellow"/>
                <w:lang w:val="en-GB"/>
              </w:rPr>
              <w:t>4</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A40881">
            <w:pPr>
              <w:spacing w:line="240" w:lineRule="exact"/>
              <w:rPr>
                <w:rFonts w:ascii="Arial" w:hAnsi="Arial"/>
                <w:bCs/>
                <w:sz w:val="24"/>
                <w:szCs w:val="24"/>
                <w:lang w:val="en-GB"/>
              </w:rPr>
            </w:pPr>
            <w:r w:rsidRPr="004D22E1">
              <w:rPr>
                <w:rFonts w:ascii="Arial" w:hAnsi="Arial"/>
                <w:bCs/>
                <w:sz w:val="24"/>
                <w:szCs w:val="24"/>
                <w:lang w:val="en-GB"/>
              </w:rPr>
              <w:t xml:space="preserve">Date: [    </w:t>
            </w:r>
            <w:r w:rsidR="00A40881">
              <w:rPr>
                <w:rFonts w:ascii="Arial" w:hAnsi="Arial"/>
                <w:bCs/>
                <w:sz w:val="24"/>
                <w:szCs w:val="24"/>
              </w:rPr>
              <w:t>4</w:t>
            </w:r>
            <w:r w:rsidRPr="004D22E1">
              <w:rPr>
                <w:rFonts w:ascii="Arial" w:hAnsi="Arial"/>
                <w:bCs/>
                <w:sz w:val="24"/>
                <w:szCs w:val="24"/>
                <w:lang w:val="en-GB"/>
              </w:rPr>
              <w:t xml:space="preserve">–   </w:t>
            </w:r>
            <w:r w:rsidR="00A40881">
              <w:rPr>
                <w:rFonts w:ascii="Arial" w:hAnsi="Arial"/>
                <w:bCs/>
                <w:sz w:val="24"/>
                <w:szCs w:val="24"/>
                <w:lang w:val="en-GB"/>
              </w:rPr>
              <w:t>4</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(Submitting the general budget audited by the legal auditors presenting the financial position of the previous years (last 2 yrs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rsidR="00DF68FB" w:rsidRDefault="00DF68FB">
      <w:pPr>
        <w:rPr>
          <w:lang w:bidi="ar-IQ"/>
        </w:rPr>
      </w:pPr>
    </w:p>
    <w:tbl>
      <w:tblPr>
        <w:tblStyle w:val="TableGrid"/>
        <w:tblW w:w="12200" w:type="dxa"/>
        <w:tblInd w:w="-185" w:type="dxa"/>
        <w:tblLook w:val="04A0"/>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2"/>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5"/>
        <w:gridCol w:w="576"/>
        <w:gridCol w:w="868"/>
        <w:gridCol w:w="665"/>
        <w:gridCol w:w="812"/>
        <w:gridCol w:w="713"/>
        <w:gridCol w:w="368"/>
        <w:gridCol w:w="298"/>
        <w:gridCol w:w="668"/>
        <w:gridCol w:w="629"/>
        <w:gridCol w:w="542"/>
        <w:gridCol w:w="556"/>
        <w:gridCol w:w="604"/>
        <w:gridCol w:w="432"/>
        <w:gridCol w:w="382"/>
        <w:gridCol w:w="441"/>
        <w:gridCol w:w="463"/>
        <w:gridCol w:w="483"/>
        <w:gridCol w:w="382"/>
        <w:gridCol w:w="564"/>
        <w:gridCol w:w="623"/>
        <w:gridCol w:w="522"/>
        <w:gridCol w:w="503"/>
        <w:gridCol w:w="444"/>
        <w:gridCol w:w="514"/>
        <w:gridCol w:w="623"/>
      </w:tblGrid>
      <w:tr w:rsidR="00DE11BF" w:rsidRPr="00233B59" w:rsidTr="00287142">
        <w:trPr>
          <w:trHeight w:val="1004"/>
        </w:trPr>
        <w:tc>
          <w:tcPr>
            <w:tcW w:w="335"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26"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8"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538"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6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287142">
        <w:tc>
          <w:tcPr>
            <w:tcW w:w="335"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6"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43"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8"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538"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6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287142" w:rsidRPr="00233B59" w:rsidTr="00A40881">
        <w:trPr>
          <w:trHeight w:val="1609"/>
        </w:trPr>
        <w:tc>
          <w:tcPr>
            <w:tcW w:w="130"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09"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3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28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5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2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8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287142" w:rsidRPr="00233B59" w:rsidTr="00A40881">
        <w:trPr>
          <w:trHeight w:val="912"/>
        </w:trPr>
        <w:tc>
          <w:tcPr>
            <w:tcW w:w="130" w:type="pct"/>
            <w:shd w:val="clear" w:color="auto" w:fill="auto"/>
          </w:tcPr>
          <w:p w:rsidR="00210249" w:rsidRPr="00D14D22" w:rsidRDefault="0021024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05"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9" w:type="pct"/>
            <w:shd w:val="clear" w:color="auto" w:fill="auto"/>
          </w:tcPr>
          <w:p w:rsidR="00210249" w:rsidRPr="00C6441A" w:rsidRDefault="00210249" w:rsidP="00073752"/>
        </w:tc>
        <w:tc>
          <w:tcPr>
            <w:tcW w:w="237" w:type="pct"/>
            <w:shd w:val="clear" w:color="auto" w:fill="auto"/>
            <w:vAlign w:val="bottom"/>
          </w:tcPr>
          <w:p w:rsidR="00210249" w:rsidRPr="00614F84" w:rsidRDefault="00287142" w:rsidP="00A40881">
            <w:pPr>
              <w:jc w:val="center"/>
              <w:rPr>
                <w:rFonts w:ascii="Cambria" w:eastAsia="Times New Roman" w:hAnsi="Cambria" w:cs="Times New Roman"/>
                <w:color w:val="000000"/>
                <w:sz w:val="20"/>
                <w:szCs w:val="20"/>
              </w:rPr>
            </w:pPr>
            <w:r w:rsidRPr="00287142">
              <w:rPr>
                <w:rFonts w:ascii="Cambria" w:eastAsia="Times New Roman" w:hAnsi="Cambria" w:cs="Times New Roman"/>
                <w:color w:val="000000"/>
                <w:sz w:val="20"/>
                <w:szCs w:val="20"/>
              </w:rPr>
              <w:t>08-D00-00</w:t>
            </w:r>
            <w:r w:rsidR="00A40881">
              <w:rPr>
                <w:rFonts w:ascii="Cambria" w:eastAsia="Times New Roman" w:hAnsi="Cambria" w:cs="Times New Roman"/>
                <w:color w:val="000000"/>
                <w:sz w:val="20"/>
                <w:szCs w:val="20"/>
              </w:rPr>
              <w:t>3</w:t>
            </w:r>
          </w:p>
        </w:tc>
        <w:tc>
          <w:tcPr>
            <w:tcW w:w="289" w:type="pct"/>
            <w:shd w:val="clear" w:color="auto" w:fill="auto"/>
            <w:vAlign w:val="bottom"/>
          </w:tcPr>
          <w:p w:rsidR="00210249" w:rsidRPr="00614F84" w:rsidRDefault="00A40881" w:rsidP="00287142">
            <w:pPr>
              <w:jc w:val="center"/>
              <w:rPr>
                <w:rFonts w:ascii="Cambria" w:eastAsia="Times New Roman" w:hAnsi="Cambria" w:cs="Times New Roman"/>
                <w:color w:val="000000"/>
              </w:rPr>
            </w:pPr>
            <w:r>
              <w:rPr>
                <w:rFonts w:ascii="Calibri" w:hAnsi="Calibri" w:cs="Calibri"/>
                <w:color w:val="000000"/>
              </w:rPr>
              <w:t xml:space="preserve">Protamine sulphate 10mg/ml (with minimum of  90 anti-heparin IU/mg) slow I.V. over 10 </w:t>
            </w:r>
            <w:r>
              <w:rPr>
                <w:rFonts w:ascii="Calibri" w:hAnsi="Calibri" w:cs="Calibri"/>
                <w:color w:val="000000"/>
              </w:rPr>
              <w:lastRenderedPageBreak/>
              <w:t>minutes (5ml) IVor  I.V. and S.C Ampoule OR Vial  and the giving quantity according to the lab. Analysis</w:t>
            </w:r>
          </w:p>
        </w:tc>
        <w:tc>
          <w:tcPr>
            <w:tcW w:w="254" w:type="pct"/>
            <w:shd w:val="clear" w:color="auto" w:fill="auto"/>
            <w:vAlign w:val="center"/>
          </w:tcPr>
          <w:p w:rsidR="00210249" w:rsidRPr="00F04CA9" w:rsidRDefault="00210249" w:rsidP="00073752">
            <w:pPr>
              <w:spacing w:after="0" w:line="240" w:lineRule="auto"/>
              <w:rPr>
                <w:rFonts w:eastAsia="Times New Roman" w:cs="Calibri"/>
                <w:color w:val="000000"/>
              </w:rPr>
            </w:pPr>
          </w:p>
        </w:tc>
        <w:tc>
          <w:tcPr>
            <w:tcW w:w="131" w:type="pct"/>
            <w:shd w:val="clear" w:color="auto" w:fill="auto"/>
            <w:vAlign w:val="center"/>
          </w:tcPr>
          <w:p w:rsidR="00210249" w:rsidRDefault="00210249" w:rsidP="00073752">
            <w:pPr>
              <w:rPr>
                <w:rFonts w:cs="Calibri"/>
                <w:color w:val="000000"/>
              </w:rPr>
            </w:pPr>
          </w:p>
        </w:tc>
        <w:tc>
          <w:tcPr>
            <w:tcW w:w="106" w:type="pct"/>
            <w:shd w:val="clear" w:color="auto" w:fill="auto"/>
            <w:vAlign w:val="bottom"/>
          </w:tcPr>
          <w:p w:rsidR="00210249" w:rsidRDefault="00210249" w:rsidP="00073752">
            <w:pPr>
              <w:rPr>
                <w:rFonts w:cs="Calibri"/>
                <w:color w:val="000000"/>
                <w:sz w:val="16"/>
                <w:szCs w:val="16"/>
              </w:rPr>
            </w:pPr>
          </w:p>
        </w:tc>
        <w:tc>
          <w:tcPr>
            <w:tcW w:w="238" w:type="pct"/>
            <w:shd w:val="clear" w:color="auto" w:fill="auto"/>
            <w:vAlign w:val="bottom"/>
          </w:tcPr>
          <w:p w:rsidR="00210249" w:rsidRDefault="00210249" w:rsidP="00073752">
            <w:pPr>
              <w:rPr>
                <w:rFonts w:cs="Calibri"/>
                <w:color w:val="000000"/>
                <w:sz w:val="16"/>
                <w:szCs w:val="16"/>
              </w:rPr>
            </w:pPr>
          </w:p>
        </w:tc>
        <w:tc>
          <w:tcPr>
            <w:tcW w:w="224" w:type="pct"/>
            <w:shd w:val="clear" w:color="auto" w:fill="auto"/>
            <w:vAlign w:val="bottom"/>
          </w:tcPr>
          <w:p w:rsidR="00210249" w:rsidRDefault="00210249" w:rsidP="00073752">
            <w:pPr>
              <w:rPr>
                <w:rFonts w:cs="Calibri"/>
                <w:color w:val="000000"/>
                <w:sz w:val="16"/>
                <w:szCs w:val="16"/>
              </w:rPr>
            </w:pPr>
          </w:p>
        </w:tc>
        <w:tc>
          <w:tcPr>
            <w:tcW w:w="193" w:type="pct"/>
            <w:shd w:val="clear" w:color="auto" w:fill="auto"/>
            <w:vAlign w:val="bottom"/>
          </w:tcPr>
          <w:p w:rsidR="00210249" w:rsidRDefault="00210249" w:rsidP="00073752">
            <w:pPr>
              <w:rPr>
                <w:rFonts w:cs="Calibri"/>
                <w:color w:val="000000"/>
                <w:sz w:val="16"/>
                <w:szCs w:val="16"/>
              </w:rPr>
            </w:pPr>
          </w:p>
        </w:tc>
        <w:tc>
          <w:tcPr>
            <w:tcW w:w="198"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5"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4" w:type="pct"/>
            <w:shd w:val="clear" w:color="auto" w:fill="auto"/>
            <w:vAlign w:val="center"/>
          </w:tcPr>
          <w:p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6" w:type="pct"/>
            <w:shd w:val="clear" w:color="auto" w:fill="auto"/>
            <w:vAlign w:val="center"/>
          </w:tcPr>
          <w:p w:rsidR="00210249" w:rsidRPr="00233B59" w:rsidRDefault="0021024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7" w:type="pct"/>
            <w:shd w:val="clear" w:color="auto" w:fill="auto"/>
            <w:vAlign w:val="center"/>
          </w:tcPr>
          <w:p w:rsidR="00210249" w:rsidRPr="005F17BD" w:rsidRDefault="0021024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5"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6"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auto"/>
            <w:vAlign w:val="center"/>
          </w:tcPr>
          <w:p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6" w:type="pct"/>
            <w:shd w:val="clear" w:color="auto" w:fill="auto"/>
            <w:vAlign w:val="center"/>
          </w:tcPr>
          <w:p w:rsidR="00210249" w:rsidRDefault="0021024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9" w:type="pct"/>
            <w:shd w:val="clear" w:color="auto" w:fill="auto"/>
            <w:vAlign w:val="center"/>
          </w:tcPr>
          <w:p w:rsidR="00210249" w:rsidRPr="005F17BD" w:rsidRDefault="0021024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8"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auto"/>
            <w:vAlign w:val="center"/>
          </w:tcPr>
          <w:p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lastRenderedPageBreak/>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5" w:name="_Toc327102269"/>
      <w:bookmarkStart w:id="56" w:name="_Toc327107706"/>
      <w:bookmarkStart w:id="57"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5"/>
    <w:bookmarkEnd w:id="56"/>
    <w:bookmarkEnd w:id="57"/>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8" w:name="_Toc327105412"/>
            <w:r w:rsidRPr="00D61FD4">
              <w:rPr>
                <w:rFonts w:ascii="Arial Narrow" w:eastAsia="Calibri" w:hAnsi="Arial Narrow" w:cs="Arial"/>
                <w:b/>
                <w:bCs/>
                <w:sz w:val="24"/>
                <w:szCs w:val="24"/>
              </w:rPr>
              <w:t xml:space="preserve"> Pharmaceuticals</w:t>
            </w:r>
            <w:bookmarkEnd w:id="58"/>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59" w:name="_Toc327105417"/>
            <w:r w:rsidRPr="004300EA">
              <w:rPr>
                <w:rFonts w:ascii="Arial Narrow" w:eastAsia="Calibri" w:hAnsi="Arial Narrow" w:cs="Arial"/>
                <w:b/>
                <w:bCs/>
                <w:szCs w:val="24"/>
              </w:rPr>
              <w:t>Notes on the General Conditions of Contract</w:t>
            </w:r>
            <w:bookmarkEnd w:id="59"/>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0" w:name="_Toc327105015"/>
            <w:r w:rsidRPr="008D12BA">
              <w:rPr>
                <w:rFonts w:ascii="Arial Narrow" w:eastAsia="Calibri" w:hAnsi="Arial Narrow" w:cs="Arial"/>
                <w:b/>
                <w:bCs/>
                <w:sz w:val="24"/>
                <w:szCs w:val="24"/>
              </w:rPr>
              <w:t>2. Application</w:t>
            </w:r>
            <w:bookmarkEnd w:id="60"/>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1" w:name="_Toc327105024"/>
            <w:r w:rsidRPr="008D12BA">
              <w:rPr>
                <w:rFonts w:ascii="Arial Narrow" w:eastAsia="Calibri" w:hAnsi="Arial Narrow" w:cs="Arial"/>
                <w:b/>
                <w:bCs/>
                <w:sz w:val="24"/>
                <w:szCs w:val="24"/>
              </w:rPr>
              <w:lastRenderedPageBreak/>
              <w:t>9. Inspections and Tests</w:t>
            </w:r>
            <w:bookmarkEnd w:id="61"/>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2" w:name="_Toc327105031"/>
            <w:r w:rsidRPr="008D12BA">
              <w:rPr>
                <w:rFonts w:ascii="Arial Narrow" w:eastAsia="Calibri" w:hAnsi="Arial Narrow" w:cs="Arial"/>
                <w:b/>
                <w:bCs/>
                <w:sz w:val="24"/>
                <w:szCs w:val="24"/>
              </w:rPr>
              <w:lastRenderedPageBreak/>
              <w:t>14. Payment</w:t>
            </w:r>
            <w:bookmarkEnd w:id="62"/>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3" w:name="_Toc327105050"/>
            <w:r w:rsidRPr="008D12BA">
              <w:rPr>
                <w:rFonts w:ascii="Arial Narrow" w:eastAsia="Calibri" w:hAnsi="Arial Narrow" w:cs="Arial"/>
                <w:b/>
                <w:bCs/>
                <w:sz w:val="24"/>
                <w:szCs w:val="24"/>
              </w:rPr>
              <w:t>28. Applicable Law</w:t>
            </w:r>
            <w:bookmarkEnd w:id="63"/>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p>
          <w:p w:rsidR="00687F1E" w:rsidRPr="008D12BA" w:rsidRDefault="00687F1E">
            <w:pPr>
              <w:rPr>
                <w:sz w:val="24"/>
                <w:szCs w:val="24"/>
              </w:rPr>
            </w:pPr>
          </w:p>
        </w:tc>
        <w:tc>
          <w:tcPr>
            <w:tcW w:w="11044" w:type="dxa"/>
          </w:tcPr>
          <w:tbl>
            <w:tblPr>
              <w:tblW w:w="5000" w:type="pct"/>
              <w:tblLook w:val="000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31.1</w:t>
                  </w:r>
                  <w:r w:rsidRPr="008D12BA">
                    <w:rPr>
                      <w:rFonts w:ascii="Arial Narrow" w:eastAsia="Calibri" w:hAnsi="Arial Narrow" w:cs="Arial"/>
                      <w:sz w:val="24"/>
                      <w:szCs w:val="24"/>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r w:rsidRPr="008D12BA">
              <w:rPr>
                <w:sz w:val="24"/>
                <w:szCs w:val="24"/>
              </w:rPr>
              <w:t>following will be added.</w:t>
            </w:r>
          </w:p>
          <w:p w:rsidR="00687F1E" w:rsidRPr="008D12BA" w:rsidRDefault="00687F1E" w:rsidP="002D4EAB">
            <w:pPr>
              <w:spacing w:after="7" w:line="370" w:lineRule="auto"/>
              <w:ind w:left="105" w:firstLine="7"/>
              <w:rPr>
                <w:sz w:val="24"/>
                <w:szCs w:val="24"/>
              </w:rPr>
            </w:pPr>
            <w:r w:rsidRPr="008D12BA">
              <w:rPr>
                <w:sz w:val="24"/>
                <w:szCs w:val="24"/>
              </w:rPr>
              <w:t xml:space="preserve">1-Provide the second party with the official letters related to contract execution and first party will never be </w:t>
            </w:r>
            <w:r w:rsidRPr="008D12BA">
              <w:rPr>
                <w:sz w:val="24"/>
                <w:szCs w:val="24"/>
              </w:rPr>
              <w:lastRenderedPageBreak/>
              <w:t>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thecompany which contracted with or with its legal authorized person for issuing the guarantee in accordance with an official authenticated authorization </w:t>
            </w:r>
            <w:r w:rsidRPr="008D12BA">
              <w:rPr>
                <w:sz w:val="24"/>
                <w:szCs w:val="24"/>
              </w:rPr>
              <w:lastRenderedPageBreak/>
              <w:t>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lastRenderedPageBreak/>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thecenterallabrotatories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 , beneficiary name and shelf life(MF&amp;Exp.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Certificate,to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rsidR="00687F1E" w:rsidRPr="008D12BA" w:rsidRDefault="00687F1E" w:rsidP="00CB43F5">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ratios mentioned in pharagraph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r w:rsidRPr="008D12BA">
              <w:rPr>
                <w:sz w:val="24"/>
                <w:szCs w:val="24"/>
              </w:rPr>
              <w:t>from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MOH/ Kimadia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1- KIMADIA has the right to impose penlty</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r w:rsidRPr="008D12BA">
              <w:rPr>
                <w:sz w:val="24"/>
                <w:szCs w:val="24"/>
              </w:rPr>
              <w:t>d-In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r w:rsidRPr="008D12BA">
              <w:rPr>
                <w:sz w:val="24"/>
                <w:szCs w:val="24"/>
              </w:rPr>
              <w:t>Kimadia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The inclusion of the Internet system in the contracts of supplying Thalassima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4" w:name="_Toc464878031"/>
            <w:bookmarkStart w:id="65" w:name="_Toc474642040"/>
            <w:bookmarkStart w:id="66" w:name="_Toc327105422"/>
            <w:r w:rsidRPr="008D12BA">
              <w:rPr>
                <w:rFonts w:ascii="Arial" w:hAnsi="Arial" w:cs="Arial"/>
                <w:sz w:val="24"/>
                <w:szCs w:val="24"/>
              </w:rPr>
              <w:t>Vaccines</w:t>
            </w:r>
            <w:bookmarkEnd w:id="64"/>
            <w:bookmarkEnd w:id="65"/>
            <w:bookmarkEnd w:id="66"/>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7" w:name="_Toc327107710"/>
            <w:bookmarkStart w:id="68" w:name="_Toc327108190"/>
            <w:r w:rsidRPr="008D12BA">
              <w:rPr>
                <w:sz w:val="24"/>
                <w:szCs w:val="24"/>
              </w:rPr>
              <w:lastRenderedPageBreak/>
              <w:t xml:space="preserve">3. </w:t>
            </w:r>
            <w:r w:rsidRPr="008D12BA">
              <w:rPr>
                <w:sz w:val="24"/>
                <w:szCs w:val="24"/>
              </w:rPr>
              <w:tab/>
              <w:t>Bank Guarantee Form for Advance Payment</w:t>
            </w:r>
            <w:bookmarkEnd w:id="67"/>
            <w:bookmarkEnd w:id="68"/>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2"/>
            </w:r>
            <w:r w:rsidRPr="008D12BA">
              <w:rPr>
                <w:rFonts w:ascii="Arial" w:hAnsi="Arial"/>
                <w:sz w:val="24"/>
                <w:szCs w:val="24"/>
              </w:rPr>
              <w:t>, or on the ___ day of ______, 2___,</w:t>
            </w:r>
            <w:r w:rsidRPr="008D12BA">
              <w:rPr>
                <w:rStyle w:val="FootnoteReference"/>
                <w:rFonts w:ascii="Arial" w:hAnsi="Arial"/>
                <w:sz w:val="24"/>
                <w:szCs w:val="24"/>
              </w:rPr>
              <w:footnoteReference w:id="3"/>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7127" w:rsidRDefault="00CE7127" w:rsidP="00400881">
      <w:pPr>
        <w:spacing w:after="0" w:line="240" w:lineRule="auto"/>
      </w:pPr>
      <w:r>
        <w:separator/>
      </w:r>
    </w:p>
  </w:endnote>
  <w:endnote w:type="continuationSeparator" w:id="1">
    <w:p w:rsidR="00CE7127" w:rsidRDefault="00CE7127" w:rsidP="004008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92559103"/>
      <w:docPartObj>
        <w:docPartGallery w:val="Page Numbers (Bottom of Page)"/>
        <w:docPartUnique/>
      </w:docPartObj>
    </w:sdtPr>
    <w:sdtEndPr>
      <w:rPr>
        <w:noProof/>
      </w:rPr>
    </w:sdtEndPr>
    <w:sdtContent>
      <w:p w:rsidR="006C6701" w:rsidRPr="00D1391E" w:rsidRDefault="009B7A8B" w:rsidP="00D1391E">
        <w:pPr>
          <w:pStyle w:val="Footer"/>
          <w:jc w:val="center"/>
          <w:rPr>
            <w:sz w:val="24"/>
            <w:szCs w:val="24"/>
          </w:rPr>
        </w:pPr>
        <w:r w:rsidRPr="00D1391E">
          <w:rPr>
            <w:sz w:val="24"/>
            <w:szCs w:val="24"/>
          </w:rPr>
          <w:fldChar w:fldCharType="begin"/>
        </w:r>
        <w:r w:rsidR="006C6701" w:rsidRPr="00D1391E">
          <w:rPr>
            <w:sz w:val="24"/>
            <w:szCs w:val="24"/>
          </w:rPr>
          <w:instrText xml:space="preserve"> PAGE   \* MERGEFORMAT </w:instrText>
        </w:r>
        <w:r w:rsidRPr="00D1391E">
          <w:rPr>
            <w:sz w:val="24"/>
            <w:szCs w:val="24"/>
          </w:rPr>
          <w:fldChar w:fldCharType="separate"/>
        </w:r>
        <w:r w:rsidR="00A40881">
          <w:rPr>
            <w:noProof/>
            <w:sz w:val="24"/>
            <w:szCs w:val="24"/>
          </w:rPr>
          <w:t>44</w:t>
        </w:r>
        <w:r w:rsidRPr="00D1391E">
          <w:rPr>
            <w:noProof/>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7127" w:rsidRDefault="00CE7127" w:rsidP="00400881">
      <w:pPr>
        <w:spacing w:after="0" w:line="240" w:lineRule="auto"/>
      </w:pPr>
      <w:r>
        <w:separator/>
      </w:r>
    </w:p>
  </w:footnote>
  <w:footnote w:type="continuationSeparator" w:id="1">
    <w:p w:rsidR="00CE7127" w:rsidRDefault="00CE7127" w:rsidP="00400881">
      <w:pPr>
        <w:spacing w:after="0" w:line="240" w:lineRule="auto"/>
      </w:pPr>
      <w:r>
        <w:continuationSeparator/>
      </w:r>
    </w:p>
  </w:footnote>
  <w:footnote w:id="2">
    <w:p w:rsidR="006C6701" w:rsidRDefault="006C6701"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3">
    <w:p w:rsidR="006C6701" w:rsidRDefault="006C6701"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6C6701" w:rsidRDefault="006C6701" w:rsidP="005A6216">
      <w:pPr>
        <w:pStyle w:val="FootnoteText"/>
        <w:rPr>
          <w:i/>
          <w:iC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701" w:rsidRDefault="009B7A8B">
    <w:pPr>
      <w:pStyle w:val="Header"/>
      <w:jc w:val="right"/>
    </w:pPr>
    <w:r w:rsidRPr="009B7A8B">
      <w:rPr>
        <w:lang w:val="en-GB"/>
      </w:rPr>
      <w:fldChar w:fldCharType="begin"/>
    </w:r>
    <w:r w:rsidR="006C6701">
      <w:instrText>PAGE   \* MERGEFORMAT</w:instrText>
    </w:r>
    <w:r w:rsidRPr="009B7A8B">
      <w:rPr>
        <w:lang w:val="en-GB"/>
      </w:rPr>
      <w:fldChar w:fldCharType="separate"/>
    </w:r>
    <w:r w:rsidR="006C6701" w:rsidRPr="00756778">
      <w:rPr>
        <w:noProof/>
        <w:lang w:val="fr-FR"/>
      </w:rPr>
      <w:t>48</w:t>
    </w:r>
    <w:r>
      <w:rPr>
        <w:noProof/>
        <w:lang w:val="fr-FR"/>
      </w:rPr>
      <w:fldChar w:fldCharType="end"/>
    </w:r>
  </w:p>
  <w:p w:rsidR="006C6701" w:rsidRDefault="006C67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701" w:rsidRDefault="006C6701"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characterSpacingControl w:val="doNotCompress"/>
  <w:footnotePr>
    <w:footnote w:id="0"/>
    <w:footnote w:id="1"/>
  </w:footnotePr>
  <w:endnotePr>
    <w:endnote w:id="0"/>
    <w:endnote w:id="1"/>
  </w:endnotePr>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92F7F"/>
    <w:rsid w:val="000A5161"/>
    <w:rsid w:val="000D27E4"/>
    <w:rsid w:val="000E0279"/>
    <w:rsid w:val="000E16F7"/>
    <w:rsid w:val="00101766"/>
    <w:rsid w:val="00111594"/>
    <w:rsid w:val="00126EDB"/>
    <w:rsid w:val="00126F30"/>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90F6E"/>
    <w:rsid w:val="001C1E8C"/>
    <w:rsid w:val="001D07A4"/>
    <w:rsid w:val="001D0C53"/>
    <w:rsid w:val="001D18A5"/>
    <w:rsid w:val="001D4346"/>
    <w:rsid w:val="001F4EA1"/>
    <w:rsid w:val="001F60A4"/>
    <w:rsid w:val="0020508D"/>
    <w:rsid w:val="002069D4"/>
    <w:rsid w:val="00210249"/>
    <w:rsid w:val="0021224D"/>
    <w:rsid w:val="00212EFA"/>
    <w:rsid w:val="00214234"/>
    <w:rsid w:val="0021796A"/>
    <w:rsid w:val="00232FD1"/>
    <w:rsid w:val="002412C0"/>
    <w:rsid w:val="00244BE4"/>
    <w:rsid w:val="002473B3"/>
    <w:rsid w:val="00250686"/>
    <w:rsid w:val="00262788"/>
    <w:rsid w:val="00267A02"/>
    <w:rsid w:val="002800C9"/>
    <w:rsid w:val="0028343A"/>
    <w:rsid w:val="00287142"/>
    <w:rsid w:val="00287D79"/>
    <w:rsid w:val="00292406"/>
    <w:rsid w:val="00292A7E"/>
    <w:rsid w:val="002945B4"/>
    <w:rsid w:val="002A2D33"/>
    <w:rsid w:val="002A6643"/>
    <w:rsid w:val="002A69B6"/>
    <w:rsid w:val="002B0E81"/>
    <w:rsid w:val="002B29BA"/>
    <w:rsid w:val="002B4DDD"/>
    <w:rsid w:val="002C0BDB"/>
    <w:rsid w:val="002C5E16"/>
    <w:rsid w:val="002D3D23"/>
    <w:rsid w:val="002D467D"/>
    <w:rsid w:val="002D4EAB"/>
    <w:rsid w:val="002F062E"/>
    <w:rsid w:val="002F1FA5"/>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04347"/>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6FA"/>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C127F"/>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4721A"/>
    <w:rsid w:val="00655BD1"/>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C6701"/>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9F7"/>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7A8B"/>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088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1CC2"/>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E7127"/>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53D"/>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9582B"/>
    <w:rsid w:val="00F95B66"/>
    <w:rsid w:val="00F976A3"/>
    <w:rsid w:val="00FA1513"/>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CC2"/>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r="http://schemas.openxmlformats.org/officeDocument/2006/relationships" xmlns:w="http://schemas.openxmlformats.org/wordprocessingml/2006/main">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91A6B-920E-42F6-A660-07F9C15CA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594</TotalTime>
  <Pages>132</Pages>
  <Words>35326</Words>
  <Characters>201362</Characters>
  <Application>Microsoft Office Word</Application>
  <DocSecurity>0</DocSecurity>
  <Lines>1678</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69</cp:revision>
  <cp:lastPrinted>2022-01-19T07:17:00Z</cp:lastPrinted>
  <dcterms:created xsi:type="dcterms:W3CDTF">2022-01-13T10:10:00Z</dcterms:created>
  <dcterms:modified xsi:type="dcterms:W3CDTF">2023-03-30T08:28:00Z</dcterms:modified>
</cp:coreProperties>
</file>