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12B6A35B" w:rsidR="00672659" w:rsidRPr="008D12BA" w:rsidRDefault="00672659" w:rsidP="00455D37">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455D37">
              <w:rPr>
                <w:rFonts w:ascii="Simplified Arabic" w:hAnsi="Simplified Arabic" w:cs="Simplified Arabic"/>
                <w:b/>
                <w:bCs/>
                <w:color w:val="000000"/>
                <w:sz w:val="24"/>
                <w:szCs w:val="24"/>
                <w:highlight w:val="cyan"/>
                <w:lang w:bidi="ar-LB"/>
              </w:rPr>
              <w:t>3</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r w:rsidR="0062668C">
              <w:rPr>
                <w:sz w:val="24"/>
                <w:szCs w:val="24"/>
              </w:rPr>
              <w:t>C</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D4A5B18" w:rsidR="00672659" w:rsidRPr="008D12BA" w:rsidRDefault="00672659" w:rsidP="0062668C">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62668C">
              <w:rPr>
                <w:rFonts w:ascii="Arial" w:hAnsi="Arial"/>
                <w:sz w:val="24"/>
                <w:szCs w:val="24"/>
                <w:highlight w:val="cyan"/>
              </w:rPr>
              <w:t>6</w:t>
            </w:r>
            <w:r w:rsidRPr="008D12BA">
              <w:rPr>
                <w:rFonts w:ascii="Arial" w:hAnsi="Arial"/>
                <w:sz w:val="24"/>
                <w:szCs w:val="24"/>
                <w:highlight w:val="cyan"/>
              </w:rPr>
              <w:t xml:space="preserve"> /</w:t>
            </w:r>
            <w:r w:rsidR="008C600C">
              <w:rPr>
                <w:rFonts w:ascii="Arial" w:hAnsi="Arial"/>
                <w:sz w:val="24"/>
                <w:szCs w:val="24"/>
                <w:highlight w:val="cyan"/>
              </w:rPr>
              <w:t xml:space="preserve"> </w:t>
            </w:r>
            <w:r w:rsidR="0062668C">
              <w:rPr>
                <w:rFonts w:ascii="Arial" w:hAnsi="Arial"/>
                <w:sz w:val="24"/>
                <w:szCs w:val="24"/>
                <w:highlight w:val="cyan"/>
              </w:rPr>
              <w:t>4</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02DA1F6F" w:rsidR="00672659" w:rsidRPr="008D12BA" w:rsidRDefault="00672659" w:rsidP="00455D37">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455D37">
              <w:rPr>
                <w:rFonts w:ascii="Arial" w:hAnsi="Arial"/>
                <w:spacing w:val="-2"/>
                <w:sz w:val="24"/>
                <w:szCs w:val="24"/>
                <w:highlight w:val="cyan"/>
              </w:rPr>
              <w:t>3</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62668C">
              <w:rPr>
                <w:rFonts w:ascii="Arial" w:hAnsi="Arial"/>
                <w:spacing w:val="-2"/>
                <w:sz w:val="24"/>
                <w:szCs w:val="24"/>
                <w:highlight w:val="cyan"/>
              </w:rPr>
              <w:t>C</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61C79AF3" w:rsidR="00672659" w:rsidRPr="008D12BA" w:rsidRDefault="00672659" w:rsidP="0062668C">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2668C">
              <w:rPr>
                <w:sz w:val="24"/>
                <w:szCs w:val="24"/>
              </w:rPr>
              <w:t>6</w:t>
            </w:r>
            <w:r w:rsidRPr="008D12BA">
              <w:rPr>
                <w:sz w:val="24"/>
                <w:szCs w:val="24"/>
              </w:rPr>
              <w:t xml:space="preserve"> </w:t>
            </w:r>
            <w:r w:rsidRPr="008D12BA">
              <w:rPr>
                <w:sz w:val="24"/>
                <w:szCs w:val="24"/>
                <w:highlight w:val="cyan"/>
              </w:rPr>
              <w:t xml:space="preserve">/ </w:t>
            </w:r>
            <w:r w:rsidR="0062668C">
              <w:rPr>
                <w:sz w:val="24"/>
                <w:szCs w:val="24"/>
                <w:highlight w:val="cyan"/>
              </w:rPr>
              <w:t>4</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62668C">
              <w:rPr>
                <w:sz w:val="24"/>
                <w:szCs w:val="24"/>
                <w:highlight w:val="cyan"/>
              </w:rPr>
              <w:t>12</w:t>
            </w:r>
            <w:r w:rsidRPr="008D12BA">
              <w:rPr>
                <w:sz w:val="24"/>
                <w:szCs w:val="24"/>
                <w:highlight w:val="cyan"/>
              </w:rPr>
              <w:t xml:space="preserve"> /     </w:t>
            </w:r>
            <w:r w:rsidR="0062668C">
              <w:rPr>
                <w:sz w:val="24"/>
                <w:szCs w:val="24"/>
                <w:highlight w:val="cyan"/>
              </w:rPr>
              <w:t>4</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3E26F637" w:rsidR="00672659" w:rsidRPr="008D12BA" w:rsidRDefault="00672659" w:rsidP="0062668C">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62668C">
              <w:rPr>
                <w:rFonts w:ascii="Arial" w:hAnsi="Arial"/>
                <w:sz w:val="24"/>
                <w:szCs w:val="24"/>
                <w:highlight w:val="cyan"/>
              </w:rPr>
              <w:t>19</w:t>
            </w:r>
            <w:r w:rsidRPr="008D12BA">
              <w:rPr>
                <w:rFonts w:ascii="Arial" w:hAnsi="Arial"/>
                <w:sz w:val="24"/>
                <w:szCs w:val="24"/>
                <w:highlight w:val="cyan"/>
              </w:rPr>
              <w:t xml:space="preserve"> / </w:t>
            </w:r>
            <w:r w:rsidR="00B55D0D">
              <w:rPr>
                <w:rFonts w:ascii="Arial" w:hAnsi="Arial"/>
                <w:sz w:val="24"/>
                <w:szCs w:val="24"/>
                <w:highlight w:val="cyan"/>
              </w:rPr>
              <w:t>4</w:t>
            </w:r>
            <w:r w:rsidRPr="008D12BA">
              <w:rPr>
                <w:rFonts w:ascii="Arial" w:hAnsi="Arial"/>
                <w:sz w:val="24"/>
                <w:szCs w:val="24"/>
                <w:highlight w:val="cyan"/>
              </w:rPr>
              <w:t xml:space="preserve">  /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 xml:space="preserve">)send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4601" w:type="dxa"/>
        <w:tblInd w:w="-1026" w:type="dxa"/>
        <w:tblLook w:val="04A0" w:firstRow="1" w:lastRow="0" w:firstColumn="1" w:lastColumn="0" w:noHBand="0" w:noVBand="1"/>
      </w:tblPr>
      <w:tblGrid>
        <w:gridCol w:w="705"/>
        <w:gridCol w:w="1416"/>
        <w:gridCol w:w="2958"/>
        <w:gridCol w:w="1272"/>
        <w:gridCol w:w="2113"/>
        <w:gridCol w:w="1200"/>
        <w:gridCol w:w="1269"/>
        <w:gridCol w:w="1270"/>
        <w:gridCol w:w="1130"/>
        <w:gridCol w:w="1268"/>
      </w:tblGrid>
      <w:tr w:rsidR="00704953" w14:paraId="33B01543" w14:textId="77777777" w:rsidTr="00086006">
        <w:trPr>
          <w:trHeight w:val="841"/>
        </w:trPr>
        <w:tc>
          <w:tcPr>
            <w:tcW w:w="14601" w:type="dxa"/>
            <w:gridSpan w:val="10"/>
          </w:tcPr>
          <w:p w14:paraId="17450D2B" w14:textId="77777777" w:rsidR="00704953" w:rsidRPr="00120DE8" w:rsidRDefault="00704953" w:rsidP="00DB569E">
            <w:pPr>
              <w:tabs>
                <w:tab w:val="left" w:pos="1470"/>
              </w:tabs>
              <w:rPr>
                <w:b/>
                <w:bCs/>
                <w:lang w:bidi="ar-IQ"/>
              </w:rPr>
            </w:pPr>
          </w:p>
          <w:p w14:paraId="4F16E823" w14:textId="37B91516" w:rsidR="00704953" w:rsidRPr="00120DE8" w:rsidRDefault="00704953" w:rsidP="00455D37">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55D37">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62668C">
              <w:rPr>
                <w:rFonts w:ascii="Arial" w:eastAsia="Times New Roman" w:hAnsi="Arial"/>
                <w:b/>
                <w:bCs/>
                <w:sz w:val="24"/>
                <w:szCs w:val="24"/>
                <w:u w:val="single"/>
              </w:rPr>
              <w:t>C</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086006">
        <w:tc>
          <w:tcPr>
            <w:tcW w:w="14601" w:type="dxa"/>
            <w:gridSpan w:val="10"/>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086006">
        <w:tc>
          <w:tcPr>
            <w:tcW w:w="14601" w:type="dxa"/>
            <w:gridSpan w:val="10"/>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086006">
        <w:tc>
          <w:tcPr>
            <w:tcW w:w="14601" w:type="dxa"/>
            <w:gridSpan w:val="10"/>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086006">
        <w:tc>
          <w:tcPr>
            <w:tcW w:w="14601" w:type="dxa"/>
            <w:gridSpan w:val="10"/>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086006">
        <w:tc>
          <w:tcPr>
            <w:tcW w:w="14601" w:type="dxa"/>
            <w:gridSpan w:val="10"/>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086006">
        <w:tc>
          <w:tcPr>
            <w:tcW w:w="14601" w:type="dxa"/>
            <w:gridSpan w:val="10"/>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086006">
        <w:tc>
          <w:tcPr>
            <w:tcW w:w="14601" w:type="dxa"/>
            <w:gridSpan w:val="10"/>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086006">
        <w:tc>
          <w:tcPr>
            <w:tcW w:w="14601" w:type="dxa"/>
            <w:gridSpan w:val="10"/>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086006">
        <w:tc>
          <w:tcPr>
            <w:tcW w:w="14601" w:type="dxa"/>
            <w:gridSpan w:val="10"/>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086006">
        <w:tc>
          <w:tcPr>
            <w:tcW w:w="14601" w:type="dxa"/>
            <w:gridSpan w:val="10"/>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086006">
        <w:trPr>
          <w:trHeight w:val="530"/>
        </w:trPr>
        <w:tc>
          <w:tcPr>
            <w:tcW w:w="14601" w:type="dxa"/>
            <w:gridSpan w:val="10"/>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086006">
        <w:tc>
          <w:tcPr>
            <w:tcW w:w="14601" w:type="dxa"/>
            <w:gridSpan w:val="10"/>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086006" w:rsidRPr="00844D38" w14:paraId="69313241" w14:textId="77777777" w:rsidTr="00086006">
        <w:trPr>
          <w:trHeight w:val="900"/>
        </w:trPr>
        <w:tc>
          <w:tcPr>
            <w:tcW w:w="708" w:type="dxa"/>
            <w:hideMark/>
          </w:tcPr>
          <w:p w14:paraId="6706D514" w14:textId="295CF663"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9" w:type="dxa"/>
            <w:hideMark/>
          </w:tcPr>
          <w:p w14:paraId="0C294D11" w14:textId="77777777"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76" w:type="dxa"/>
            <w:hideMark/>
          </w:tcPr>
          <w:p w14:paraId="277E2EC3"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14:paraId="2ED4C16A" w14:textId="29FB8323"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4</w:t>
            </w:r>
          </w:p>
        </w:tc>
        <w:tc>
          <w:tcPr>
            <w:tcW w:w="2126" w:type="dxa"/>
          </w:tcPr>
          <w:p w14:paraId="250CBB58" w14:textId="1EC13859"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134" w:type="dxa"/>
            <w:hideMark/>
          </w:tcPr>
          <w:p w14:paraId="330CB96E" w14:textId="705FC4C5"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76" w:type="dxa"/>
            <w:hideMark/>
          </w:tcPr>
          <w:p w14:paraId="0A32741A"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76" w:type="dxa"/>
            <w:hideMark/>
          </w:tcPr>
          <w:p w14:paraId="4C9CB354"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34" w:type="dxa"/>
            <w:hideMark/>
          </w:tcPr>
          <w:p w14:paraId="32988BF6"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76" w:type="dxa"/>
            <w:hideMark/>
          </w:tcPr>
          <w:p w14:paraId="213E2C2B"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455D37" w:rsidRPr="00844D38" w14:paraId="73E48362" w14:textId="77777777" w:rsidTr="00455D37">
        <w:trPr>
          <w:trHeight w:val="495"/>
        </w:trPr>
        <w:tc>
          <w:tcPr>
            <w:tcW w:w="708" w:type="dxa"/>
          </w:tcPr>
          <w:p w14:paraId="3AFB377F" w14:textId="770B618E" w:rsidR="00455D37" w:rsidRPr="00844D38" w:rsidRDefault="00455D37" w:rsidP="00DB569E">
            <w:pPr>
              <w:jc w:val="center"/>
              <w:rPr>
                <w:rFonts w:eastAsia="Times New Roman" w:cs="Calibri"/>
                <w:b/>
                <w:bCs/>
                <w:color w:val="000000"/>
              </w:rPr>
            </w:pPr>
            <w:r w:rsidRPr="002C1DC2">
              <w:t>1</w:t>
            </w:r>
          </w:p>
        </w:tc>
        <w:tc>
          <w:tcPr>
            <w:tcW w:w="1419" w:type="dxa"/>
          </w:tcPr>
          <w:p w14:paraId="528CE49E" w14:textId="0AAA7A60" w:rsidR="00455D37" w:rsidRPr="00844D38" w:rsidRDefault="00455D37" w:rsidP="00DB569E">
            <w:pPr>
              <w:jc w:val="center"/>
              <w:rPr>
                <w:rFonts w:eastAsia="Times New Roman" w:cs="Calibri"/>
                <w:b/>
                <w:bCs/>
                <w:color w:val="000000"/>
              </w:rPr>
            </w:pPr>
            <w:r w:rsidRPr="002C1DC2">
              <w:t>04-J00-017</w:t>
            </w:r>
          </w:p>
        </w:tc>
        <w:tc>
          <w:tcPr>
            <w:tcW w:w="2976" w:type="dxa"/>
          </w:tcPr>
          <w:p w14:paraId="022B674E" w14:textId="49257D08" w:rsidR="00455D37" w:rsidRPr="00844D38" w:rsidRDefault="00455D37" w:rsidP="00DB569E">
            <w:pPr>
              <w:jc w:val="center"/>
              <w:rPr>
                <w:rFonts w:eastAsia="Times New Roman" w:cs="Calibri"/>
                <w:b/>
                <w:bCs/>
                <w:color w:val="000000"/>
              </w:rPr>
            </w:pPr>
            <w:proofErr w:type="spellStart"/>
            <w:r w:rsidRPr="002C1DC2">
              <w:t>Phenobarbitone</w:t>
            </w:r>
            <w:proofErr w:type="spellEnd"/>
            <w:r w:rsidRPr="002C1DC2">
              <w:t xml:space="preserve"> sodium 200mg/ml (1ml) Ampoule I.M , I.V. or (SC. IM or IV) </w:t>
            </w:r>
            <w:r w:rsidRPr="002C1DC2">
              <w:rPr>
                <w:rtl/>
              </w:rPr>
              <w:t>المادة دواء طواريء ولا يعطى (الا بالوريد بعد التخفيف بنسبة واحد في عشرة (مل واحد يخلط مع 10 مل ماء للزرق)1128</w:t>
            </w:r>
          </w:p>
        </w:tc>
        <w:tc>
          <w:tcPr>
            <w:tcW w:w="1276" w:type="dxa"/>
          </w:tcPr>
          <w:p w14:paraId="5626D002" w14:textId="3E3A72AC" w:rsidR="00455D37" w:rsidRPr="00844D38" w:rsidRDefault="00455D37" w:rsidP="00D91855">
            <w:pPr>
              <w:jc w:val="center"/>
              <w:rPr>
                <w:rFonts w:eastAsia="Times New Roman" w:cs="Calibri"/>
                <w:b/>
                <w:bCs/>
                <w:color w:val="000000"/>
              </w:rPr>
            </w:pPr>
            <w:r w:rsidRPr="002C1DC2">
              <w:rPr>
                <w:rtl/>
              </w:rPr>
              <w:t>179300</w:t>
            </w:r>
          </w:p>
        </w:tc>
        <w:tc>
          <w:tcPr>
            <w:tcW w:w="2126" w:type="dxa"/>
          </w:tcPr>
          <w:p w14:paraId="3FA6A022" w14:textId="634E175C" w:rsidR="00455D37" w:rsidRPr="00844D38" w:rsidRDefault="00455D37" w:rsidP="00D91855">
            <w:pPr>
              <w:jc w:val="center"/>
              <w:rPr>
                <w:rFonts w:eastAsia="Times New Roman" w:cs="Calibri"/>
                <w:b/>
                <w:bCs/>
                <w:color w:val="000000"/>
              </w:rPr>
            </w:pPr>
            <w:r w:rsidRPr="002C1DC2">
              <w:rPr>
                <w:rtl/>
              </w:rPr>
              <w:t>ج/ 1128 تعديل طريقة الاعطاء المادة دواء طواريء ولا يعطى (الا بالوريد بعد التخفيف بنسبة واحد في عشرة (مل واحد يخلط مع 10 مل ماء للزرق)</w:t>
            </w:r>
          </w:p>
        </w:tc>
        <w:tc>
          <w:tcPr>
            <w:tcW w:w="1134" w:type="dxa"/>
          </w:tcPr>
          <w:p w14:paraId="2A06D12B" w14:textId="45E30D52" w:rsidR="00455D37" w:rsidRPr="00844D38" w:rsidRDefault="00455D37" w:rsidP="00D91855">
            <w:pPr>
              <w:jc w:val="center"/>
              <w:rPr>
                <w:rFonts w:eastAsia="Times New Roman" w:cs="Calibri"/>
                <w:b/>
                <w:bCs/>
                <w:color w:val="000000"/>
              </w:rPr>
            </w:pPr>
            <w:r w:rsidRPr="002C1DC2">
              <w:rPr>
                <w:rtl/>
              </w:rPr>
              <w:t>10</w:t>
            </w:r>
            <w:r w:rsidRPr="002C1DC2">
              <w:t>amp</w:t>
            </w:r>
          </w:p>
        </w:tc>
        <w:tc>
          <w:tcPr>
            <w:tcW w:w="1276" w:type="dxa"/>
          </w:tcPr>
          <w:p w14:paraId="62933370" w14:textId="3282E805" w:rsidR="00455D37" w:rsidRPr="00844D38" w:rsidRDefault="00455D37" w:rsidP="00D91855">
            <w:pPr>
              <w:jc w:val="center"/>
              <w:rPr>
                <w:rFonts w:eastAsia="Times New Roman" w:cs="Calibri"/>
                <w:b/>
                <w:bCs/>
                <w:color w:val="000000"/>
              </w:rPr>
            </w:pPr>
            <w:r w:rsidRPr="002C1DC2">
              <w:t>35.89</w:t>
            </w:r>
          </w:p>
        </w:tc>
        <w:tc>
          <w:tcPr>
            <w:tcW w:w="1276" w:type="dxa"/>
          </w:tcPr>
          <w:p w14:paraId="44294134" w14:textId="630BCA80" w:rsidR="00455D37" w:rsidRPr="00844D38" w:rsidRDefault="00455D37" w:rsidP="00D91855">
            <w:pPr>
              <w:jc w:val="center"/>
              <w:rPr>
                <w:rFonts w:eastAsia="Times New Roman" w:cs="Calibri"/>
                <w:b/>
                <w:bCs/>
                <w:color w:val="000000"/>
              </w:rPr>
            </w:pPr>
            <w:r w:rsidRPr="002C1DC2">
              <w:t>25.12</w:t>
            </w:r>
          </w:p>
        </w:tc>
        <w:tc>
          <w:tcPr>
            <w:tcW w:w="1134" w:type="dxa"/>
          </w:tcPr>
          <w:p w14:paraId="7DB748D8" w14:textId="566483AA" w:rsidR="00455D37" w:rsidRPr="00844D38" w:rsidRDefault="00455D37" w:rsidP="00D91855">
            <w:pPr>
              <w:jc w:val="center"/>
              <w:rPr>
                <w:rFonts w:eastAsia="Times New Roman" w:cs="Calibri"/>
                <w:b/>
                <w:bCs/>
                <w:color w:val="000000"/>
              </w:rPr>
            </w:pPr>
            <w:r w:rsidRPr="002C1DC2">
              <w:t>16.1</w:t>
            </w:r>
          </w:p>
        </w:tc>
        <w:tc>
          <w:tcPr>
            <w:tcW w:w="1276" w:type="dxa"/>
          </w:tcPr>
          <w:p w14:paraId="7B728851" w14:textId="691BF190" w:rsidR="00455D37" w:rsidRPr="00844D38" w:rsidRDefault="00455D37" w:rsidP="00D91855">
            <w:pPr>
              <w:jc w:val="center"/>
              <w:rPr>
                <w:rFonts w:eastAsia="Times New Roman" w:cs="Calibri"/>
                <w:b/>
                <w:bCs/>
                <w:color w:val="000000"/>
              </w:rPr>
            </w:pPr>
            <w:r w:rsidRPr="002C1DC2">
              <w:t>8.9</w:t>
            </w:r>
          </w:p>
        </w:tc>
      </w:tr>
      <w:tr w:rsidR="00455D37" w:rsidRPr="00844D38" w14:paraId="548A4BB5" w14:textId="77777777" w:rsidTr="00455D37">
        <w:trPr>
          <w:trHeight w:val="495"/>
        </w:trPr>
        <w:tc>
          <w:tcPr>
            <w:tcW w:w="708" w:type="dxa"/>
          </w:tcPr>
          <w:p w14:paraId="3A57EBF3" w14:textId="700F1539" w:rsidR="00455D37" w:rsidRPr="00844D38" w:rsidRDefault="00455D37" w:rsidP="00DB569E">
            <w:pPr>
              <w:jc w:val="center"/>
              <w:rPr>
                <w:rFonts w:eastAsia="Times New Roman" w:cs="Calibri"/>
                <w:b/>
                <w:bCs/>
                <w:color w:val="000000"/>
              </w:rPr>
            </w:pPr>
            <w:r w:rsidRPr="002C1DC2">
              <w:t>2</w:t>
            </w:r>
          </w:p>
        </w:tc>
        <w:tc>
          <w:tcPr>
            <w:tcW w:w="1419" w:type="dxa"/>
          </w:tcPr>
          <w:p w14:paraId="5A03AC55" w14:textId="0DAE2BD6" w:rsidR="00455D37" w:rsidRPr="00844D38" w:rsidRDefault="00455D37" w:rsidP="00DB569E">
            <w:pPr>
              <w:jc w:val="center"/>
              <w:rPr>
                <w:rFonts w:eastAsia="Times New Roman" w:cs="Calibri"/>
                <w:b/>
                <w:bCs/>
                <w:color w:val="000000"/>
              </w:rPr>
            </w:pPr>
            <w:r w:rsidRPr="002C1DC2">
              <w:t>06-D00-001</w:t>
            </w:r>
          </w:p>
        </w:tc>
        <w:tc>
          <w:tcPr>
            <w:tcW w:w="2976" w:type="dxa"/>
          </w:tcPr>
          <w:p w14:paraId="59F717A9" w14:textId="6DD47B98" w:rsidR="00455D37" w:rsidRPr="00844D38" w:rsidRDefault="00455D37" w:rsidP="00DB569E">
            <w:pPr>
              <w:jc w:val="center"/>
              <w:rPr>
                <w:rFonts w:eastAsia="Times New Roman" w:cs="Calibri"/>
                <w:b/>
                <w:bCs/>
                <w:color w:val="000000"/>
              </w:rPr>
            </w:pPr>
            <w:proofErr w:type="spellStart"/>
            <w:r w:rsidRPr="002C1DC2">
              <w:t>Carbimazole</w:t>
            </w:r>
            <w:proofErr w:type="spellEnd"/>
            <w:r w:rsidRPr="002C1DC2">
              <w:t xml:space="preserve"> 5mg Tablet</w:t>
            </w:r>
          </w:p>
        </w:tc>
        <w:tc>
          <w:tcPr>
            <w:tcW w:w="1276" w:type="dxa"/>
          </w:tcPr>
          <w:p w14:paraId="7753A5FA" w14:textId="0B9661AB" w:rsidR="00455D37" w:rsidRPr="00844D38" w:rsidRDefault="00455D37" w:rsidP="00D91855">
            <w:pPr>
              <w:jc w:val="center"/>
              <w:rPr>
                <w:rFonts w:eastAsia="Times New Roman" w:cs="Calibri"/>
                <w:b/>
                <w:bCs/>
                <w:color w:val="000000"/>
              </w:rPr>
            </w:pPr>
            <w:r w:rsidRPr="002C1DC2">
              <w:t>3036992</w:t>
            </w:r>
          </w:p>
        </w:tc>
        <w:tc>
          <w:tcPr>
            <w:tcW w:w="2126" w:type="dxa"/>
          </w:tcPr>
          <w:p w14:paraId="5F136420" w14:textId="77777777" w:rsidR="00455D37" w:rsidRPr="00844D38" w:rsidRDefault="00455D37" w:rsidP="00D91855">
            <w:pPr>
              <w:jc w:val="center"/>
              <w:rPr>
                <w:rFonts w:eastAsia="Times New Roman" w:cs="Calibri"/>
                <w:b/>
                <w:bCs/>
                <w:color w:val="000000"/>
              </w:rPr>
            </w:pPr>
          </w:p>
        </w:tc>
        <w:tc>
          <w:tcPr>
            <w:tcW w:w="1134" w:type="dxa"/>
          </w:tcPr>
          <w:p w14:paraId="05F506A8" w14:textId="232DA2E2" w:rsidR="00455D37" w:rsidRPr="00844D38" w:rsidRDefault="00455D37" w:rsidP="00D91855">
            <w:pPr>
              <w:jc w:val="center"/>
              <w:rPr>
                <w:rFonts w:eastAsia="Times New Roman" w:cs="Calibri"/>
                <w:b/>
                <w:bCs/>
                <w:color w:val="000000"/>
              </w:rPr>
            </w:pPr>
            <w:r w:rsidRPr="002C1DC2">
              <w:t>100 tab</w:t>
            </w:r>
          </w:p>
        </w:tc>
        <w:tc>
          <w:tcPr>
            <w:tcW w:w="1276" w:type="dxa"/>
          </w:tcPr>
          <w:p w14:paraId="240D0525" w14:textId="28CE6FB3" w:rsidR="00455D37" w:rsidRPr="00844D38" w:rsidRDefault="00455D37" w:rsidP="00D91855">
            <w:pPr>
              <w:jc w:val="center"/>
              <w:rPr>
                <w:rFonts w:eastAsia="Times New Roman" w:cs="Calibri"/>
                <w:b/>
                <w:bCs/>
                <w:color w:val="000000"/>
              </w:rPr>
            </w:pPr>
            <w:r w:rsidRPr="002C1DC2">
              <w:t>5.7</w:t>
            </w:r>
          </w:p>
        </w:tc>
        <w:tc>
          <w:tcPr>
            <w:tcW w:w="1276" w:type="dxa"/>
          </w:tcPr>
          <w:p w14:paraId="228B1311" w14:textId="129FF754" w:rsidR="00455D37" w:rsidRPr="00844D38" w:rsidRDefault="00455D37" w:rsidP="00D91855">
            <w:pPr>
              <w:jc w:val="center"/>
              <w:rPr>
                <w:rFonts w:eastAsia="Times New Roman" w:cs="Calibri"/>
                <w:b/>
                <w:bCs/>
                <w:color w:val="000000"/>
              </w:rPr>
            </w:pPr>
            <w:r w:rsidRPr="002C1DC2">
              <w:t>4</w:t>
            </w:r>
          </w:p>
        </w:tc>
        <w:tc>
          <w:tcPr>
            <w:tcW w:w="1134" w:type="dxa"/>
          </w:tcPr>
          <w:p w14:paraId="4C67369C" w14:textId="1DE00811" w:rsidR="00455D37" w:rsidRPr="00844D38" w:rsidRDefault="00455D37" w:rsidP="00D91855">
            <w:pPr>
              <w:jc w:val="center"/>
              <w:rPr>
                <w:rFonts w:eastAsia="Times New Roman" w:cs="Calibri"/>
                <w:b/>
                <w:bCs/>
                <w:color w:val="000000"/>
              </w:rPr>
            </w:pPr>
            <w:r w:rsidRPr="002C1DC2">
              <w:t>2.57</w:t>
            </w:r>
          </w:p>
        </w:tc>
        <w:tc>
          <w:tcPr>
            <w:tcW w:w="1276" w:type="dxa"/>
          </w:tcPr>
          <w:p w14:paraId="2EA6EACB" w14:textId="36A230A5" w:rsidR="00455D37" w:rsidRPr="00844D38" w:rsidRDefault="00455D37" w:rsidP="00D91855">
            <w:pPr>
              <w:jc w:val="center"/>
              <w:rPr>
                <w:rFonts w:eastAsia="Times New Roman" w:cs="Calibri"/>
                <w:b/>
                <w:bCs/>
                <w:color w:val="000000"/>
              </w:rPr>
            </w:pPr>
            <w:r w:rsidRPr="002C1DC2">
              <w:t>1.42</w:t>
            </w:r>
          </w:p>
        </w:tc>
      </w:tr>
      <w:tr w:rsidR="00455D37" w:rsidRPr="00844D38" w14:paraId="15C53FA1" w14:textId="77777777" w:rsidTr="00455D37">
        <w:trPr>
          <w:trHeight w:val="495"/>
        </w:trPr>
        <w:tc>
          <w:tcPr>
            <w:tcW w:w="708" w:type="dxa"/>
          </w:tcPr>
          <w:p w14:paraId="51039455" w14:textId="0730F3D3" w:rsidR="00455D37" w:rsidRPr="00844D38" w:rsidRDefault="00455D37" w:rsidP="00DB569E">
            <w:pPr>
              <w:jc w:val="center"/>
              <w:rPr>
                <w:rFonts w:eastAsia="Times New Roman" w:cs="Calibri"/>
                <w:b/>
                <w:bCs/>
                <w:color w:val="000000"/>
              </w:rPr>
            </w:pPr>
            <w:r w:rsidRPr="002C1DC2">
              <w:t>3</w:t>
            </w:r>
          </w:p>
        </w:tc>
        <w:tc>
          <w:tcPr>
            <w:tcW w:w="1419" w:type="dxa"/>
          </w:tcPr>
          <w:p w14:paraId="115E69B5" w14:textId="7C069CDF" w:rsidR="00455D37" w:rsidRPr="00844D38" w:rsidRDefault="00455D37" w:rsidP="00DB569E">
            <w:pPr>
              <w:jc w:val="center"/>
              <w:rPr>
                <w:rFonts w:eastAsia="Times New Roman" w:cs="Calibri"/>
                <w:b/>
                <w:bCs/>
                <w:color w:val="000000"/>
              </w:rPr>
            </w:pPr>
            <w:r w:rsidRPr="002C1DC2">
              <w:t>12-B00-002</w:t>
            </w:r>
          </w:p>
        </w:tc>
        <w:tc>
          <w:tcPr>
            <w:tcW w:w="2976" w:type="dxa"/>
          </w:tcPr>
          <w:p w14:paraId="6E09FCA6" w14:textId="24BD1232" w:rsidR="00455D37" w:rsidRPr="00844D38" w:rsidRDefault="00455D37" w:rsidP="00DB569E">
            <w:pPr>
              <w:jc w:val="center"/>
              <w:rPr>
                <w:rFonts w:eastAsia="Times New Roman" w:cs="Calibri"/>
                <w:b/>
                <w:bCs/>
                <w:color w:val="000000"/>
              </w:rPr>
            </w:pPr>
            <w:proofErr w:type="spellStart"/>
            <w:r w:rsidRPr="002C1DC2">
              <w:t>Beclomethasone</w:t>
            </w:r>
            <w:proofErr w:type="spellEnd"/>
            <w:r w:rsidRPr="002C1DC2">
              <w:t xml:space="preserve"> </w:t>
            </w:r>
            <w:proofErr w:type="spellStart"/>
            <w:r w:rsidRPr="002C1DC2">
              <w:t>dipropionate</w:t>
            </w:r>
            <w:proofErr w:type="spellEnd"/>
            <w:r w:rsidRPr="002C1DC2">
              <w:t xml:space="preserve"> 50mcg/ metered inhalation (Aerosol Inhalation) Nasal Spray</w:t>
            </w:r>
          </w:p>
        </w:tc>
        <w:tc>
          <w:tcPr>
            <w:tcW w:w="1276" w:type="dxa"/>
          </w:tcPr>
          <w:p w14:paraId="102E597A" w14:textId="046FD352" w:rsidR="00455D37" w:rsidRPr="00844D38" w:rsidRDefault="00455D37" w:rsidP="00D91855">
            <w:pPr>
              <w:jc w:val="center"/>
              <w:rPr>
                <w:rFonts w:eastAsia="Times New Roman" w:cs="Calibri"/>
                <w:b/>
                <w:bCs/>
                <w:color w:val="000000"/>
              </w:rPr>
            </w:pPr>
            <w:r w:rsidRPr="002C1DC2">
              <w:t>194363</w:t>
            </w:r>
          </w:p>
        </w:tc>
        <w:tc>
          <w:tcPr>
            <w:tcW w:w="2126" w:type="dxa"/>
          </w:tcPr>
          <w:p w14:paraId="5D2B69D2" w14:textId="77777777" w:rsidR="00455D37" w:rsidRPr="00844D38" w:rsidRDefault="00455D37" w:rsidP="00D91855">
            <w:pPr>
              <w:jc w:val="center"/>
              <w:rPr>
                <w:rFonts w:eastAsia="Times New Roman" w:cs="Calibri"/>
                <w:b/>
                <w:bCs/>
                <w:color w:val="000000"/>
              </w:rPr>
            </w:pPr>
          </w:p>
        </w:tc>
        <w:tc>
          <w:tcPr>
            <w:tcW w:w="1134" w:type="dxa"/>
          </w:tcPr>
          <w:p w14:paraId="65878896" w14:textId="510AAB62" w:rsidR="00455D37" w:rsidRPr="00844D38" w:rsidRDefault="00455D37" w:rsidP="00D91855">
            <w:pPr>
              <w:jc w:val="center"/>
              <w:rPr>
                <w:rFonts w:eastAsia="Times New Roman" w:cs="Calibri"/>
                <w:b/>
                <w:bCs/>
                <w:color w:val="000000"/>
              </w:rPr>
            </w:pPr>
            <w:r w:rsidRPr="002C1DC2">
              <w:t>1(200 dose)</w:t>
            </w:r>
          </w:p>
        </w:tc>
        <w:tc>
          <w:tcPr>
            <w:tcW w:w="1276" w:type="dxa"/>
          </w:tcPr>
          <w:p w14:paraId="1B8FC088" w14:textId="215DAA17" w:rsidR="00455D37" w:rsidRPr="00844D38" w:rsidRDefault="00455D37" w:rsidP="00D91855">
            <w:pPr>
              <w:jc w:val="center"/>
              <w:rPr>
                <w:rFonts w:eastAsia="Times New Roman" w:cs="Calibri"/>
                <w:b/>
                <w:bCs/>
                <w:color w:val="000000"/>
              </w:rPr>
            </w:pPr>
            <w:r w:rsidRPr="002C1DC2">
              <w:t>2.95</w:t>
            </w:r>
          </w:p>
        </w:tc>
        <w:tc>
          <w:tcPr>
            <w:tcW w:w="1276" w:type="dxa"/>
          </w:tcPr>
          <w:p w14:paraId="74D9D34E" w14:textId="215305E1" w:rsidR="00455D37" w:rsidRPr="00844D38" w:rsidRDefault="00455D37" w:rsidP="00D91855">
            <w:pPr>
              <w:jc w:val="center"/>
              <w:rPr>
                <w:rFonts w:eastAsia="Times New Roman" w:cs="Calibri"/>
                <w:b/>
                <w:bCs/>
                <w:color w:val="000000"/>
              </w:rPr>
            </w:pPr>
            <w:r w:rsidRPr="002C1DC2">
              <w:t>2.06</w:t>
            </w:r>
          </w:p>
        </w:tc>
        <w:tc>
          <w:tcPr>
            <w:tcW w:w="1134" w:type="dxa"/>
          </w:tcPr>
          <w:p w14:paraId="638C567D" w14:textId="09155432" w:rsidR="00455D37" w:rsidRPr="00844D38" w:rsidRDefault="00455D37" w:rsidP="00D91855">
            <w:pPr>
              <w:jc w:val="center"/>
              <w:rPr>
                <w:rFonts w:eastAsia="Times New Roman" w:cs="Calibri"/>
                <w:b/>
                <w:bCs/>
                <w:color w:val="000000"/>
              </w:rPr>
            </w:pPr>
            <w:r w:rsidRPr="002C1DC2">
              <w:t>1.33</w:t>
            </w:r>
          </w:p>
        </w:tc>
        <w:tc>
          <w:tcPr>
            <w:tcW w:w="1276" w:type="dxa"/>
          </w:tcPr>
          <w:p w14:paraId="19DEDCB1" w14:textId="124BB245" w:rsidR="00455D37" w:rsidRPr="00844D38" w:rsidRDefault="00455D37" w:rsidP="00D91855">
            <w:pPr>
              <w:jc w:val="center"/>
              <w:rPr>
                <w:rFonts w:eastAsia="Times New Roman" w:cs="Calibri"/>
                <w:b/>
                <w:bCs/>
                <w:color w:val="000000"/>
              </w:rPr>
            </w:pPr>
            <w:r w:rsidRPr="002C1DC2">
              <w:t>0.73</w:t>
            </w:r>
          </w:p>
        </w:tc>
      </w:tr>
      <w:tr w:rsidR="00455D37" w:rsidRPr="00844D38" w14:paraId="63B4146A" w14:textId="77777777" w:rsidTr="00455D37">
        <w:trPr>
          <w:trHeight w:val="495"/>
        </w:trPr>
        <w:tc>
          <w:tcPr>
            <w:tcW w:w="708" w:type="dxa"/>
          </w:tcPr>
          <w:p w14:paraId="71C7B78C" w14:textId="7D02CC11" w:rsidR="00455D37" w:rsidRPr="00844D38" w:rsidRDefault="00455D37" w:rsidP="00DB569E">
            <w:pPr>
              <w:jc w:val="center"/>
              <w:rPr>
                <w:rFonts w:eastAsia="Times New Roman" w:cs="Calibri"/>
                <w:b/>
                <w:bCs/>
                <w:color w:val="000000"/>
              </w:rPr>
            </w:pPr>
            <w:r w:rsidRPr="002C1DC2">
              <w:t>4</w:t>
            </w:r>
          </w:p>
        </w:tc>
        <w:tc>
          <w:tcPr>
            <w:tcW w:w="1419" w:type="dxa"/>
          </w:tcPr>
          <w:p w14:paraId="15D97BC2" w14:textId="6F5BA18F" w:rsidR="00455D37" w:rsidRPr="00844D38" w:rsidRDefault="00455D37" w:rsidP="00DB569E">
            <w:pPr>
              <w:jc w:val="center"/>
              <w:rPr>
                <w:rFonts w:eastAsia="Times New Roman" w:cs="Calibri"/>
                <w:b/>
                <w:bCs/>
                <w:color w:val="000000"/>
              </w:rPr>
            </w:pPr>
            <w:r w:rsidRPr="002C1DC2">
              <w:t>14-AD0-032</w:t>
            </w:r>
          </w:p>
        </w:tc>
        <w:tc>
          <w:tcPr>
            <w:tcW w:w="2976" w:type="dxa"/>
          </w:tcPr>
          <w:p w14:paraId="536D8BBB" w14:textId="2951CEAE" w:rsidR="00455D37" w:rsidRPr="00844D38" w:rsidRDefault="00455D37" w:rsidP="00DB569E">
            <w:pPr>
              <w:jc w:val="center"/>
              <w:rPr>
                <w:rFonts w:eastAsia="Times New Roman" w:cs="Calibri"/>
                <w:b/>
                <w:bCs/>
                <w:color w:val="000000"/>
              </w:rPr>
            </w:pPr>
            <w:proofErr w:type="spellStart"/>
            <w:r w:rsidRPr="002C1DC2">
              <w:t>Remifentanil</w:t>
            </w:r>
            <w:proofErr w:type="spellEnd"/>
            <w:r w:rsidRPr="002C1DC2">
              <w:t xml:space="preserve"> (as Hydrochloride )2mg/ vial </w:t>
            </w:r>
            <w:proofErr w:type="spellStart"/>
            <w:r w:rsidRPr="002C1DC2">
              <w:t>IV.injection</w:t>
            </w:r>
            <w:proofErr w:type="spellEnd"/>
            <w:r w:rsidRPr="002C1DC2">
              <w:t xml:space="preserve"> </w:t>
            </w:r>
          </w:p>
        </w:tc>
        <w:tc>
          <w:tcPr>
            <w:tcW w:w="1276" w:type="dxa"/>
          </w:tcPr>
          <w:p w14:paraId="2C965F00" w14:textId="4272BA0F" w:rsidR="00455D37" w:rsidRPr="00844D38" w:rsidRDefault="00455D37" w:rsidP="00D91855">
            <w:pPr>
              <w:jc w:val="center"/>
              <w:rPr>
                <w:rFonts w:eastAsia="Times New Roman" w:cs="Calibri"/>
                <w:b/>
                <w:bCs/>
                <w:color w:val="000000"/>
              </w:rPr>
            </w:pPr>
            <w:r w:rsidRPr="002C1DC2">
              <w:t>39955</w:t>
            </w:r>
          </w:p>
        </w:tc>
        <w:tc>
          <w:tcPr>
            <w:tcW w:w="2126" w:type="dxa"/>
          </w:tcPr>
          <w:p w14:paraId="1FC74337" w14:textId="77777777" w:rsidR="00455D37" w:rsidRPr="00844D38" w:rsidRDefault="00455D37" w:rsidP="00D91855">
            <w:pPr>
              <w:jc w:val="center"/>
              <w:rPr>
                <w:rFonts w:eastAsia="Times New Roman" w:cs="Calibri"/>
                <w:b/>
                <w:bCs/>
                <w:color w:val="000000"/>
              </w:rPr>
            </w:pPr>
          </w:p>
        </w:tc>
        <w:tc>
          <w:tcPr>
            <w:tcW w:w="1134" w:type="dxa"/>
          </w:tcPr>
          <w:p w14:paraId="3A6A6202" w14:textId="4658AAEA" w:rsidR="00455D37" w:rsidRPr="00844D38" w:rsidRDefault="00455D37" w:rsidP="00D91855">
            <w:pPr>
              <w:jc w:val="center"/>
              <w:rPr>
                <w:rFonts w:eastAsia="Times New Roman" w:cs="Calibri"/>
                <w:b/>
                <w:bCs/>
                <w:color w:val="000000"/>
              </w:rPr>
            </w:pPr>
            <w:r w:rsidRPr="002C1DC2">
              <w:t>5 vial</w:t>
            </w:r>
          </w:p>
        </w:tc>
        <w:tc>
          <w:tcPr>
            <w:tcW w:w="1276" w:type="dxa"/>
          </w:tcPr>
          <w:p w14:paraId="1E3EB614" w14:textId="52A1A833" w:rsidR="00455D37" w:rsidRPr="00844D38" w:rsidRDefault="00455D37" w:rsidP="00D91855">
            <w:pPr>
              <w:jc w:val="center"/>
              <w:rPr>
                <w:rFonts w:eastAsia="Times New Roman" w:cs="Calibri"/>
                <w:b/>
                <w:bCs/>
                <w:color w:val="000000"/>
              </w:rPr>
            </w:pPr>
            <w:r w:rsidRPr="002C1DC2">
              <w:t>31.4</w:t>
            </w:r>
          </w:p>
        </w:tc>
        <w:tc>
          <w:tcPr>
            <w:tcW w:w="1276" w:type="dxa"/>
          </w:tcPr>
          <w:p w14:paraId="66DBDE74" w14:textId="1EBE9A86" w:rsidR="00455D37" w:rsidRPr="00844D38" w:rsidRDefault="00455D37" w:rsidP="00D91855">
            <w:pPr>
              <w:jc w:val="center"/>
              <w:rPr>
                <w:rFonts w:eastAsia="Times New Roman" w:cs="Calibri"/>
                <w:b/>
                <w:bCs/>
                <w:color w:val="000000"/>
              </w:rPr>
            </w:pPr>
            <w:r w:rsidRPr="002C1DC2">
              <w:t>22</w:t>
            </w:r>
          </w:p>
        </w:tc>
        <w:tc>
          <w:tcPr>
            <w:tcW w:w="1134" w:type="dxa"/>
          </w:tcPr>
          <w:p w14:paraId="1BF1E308" w14:textId="113AD309" w:rsidR="00455D37" w:rsidRPr="00844D38" w:rsidRDefault="00455D37" w:rsidP="00D91855">
            <w:pPr>
              <w:jc w:val="center"/>
              <w:rPr>
                <w:rFonts w:eastAsia="Times New Roman" w:cs="Calibri"/>
                <w:b/>
                <w:bCs/>
                <w:color w:val="000000"/>
              </w:rPr>
            </w:pPr>
            <w:r w:rsidRPr="002C1DC2">
              <w:t>14.14</w:t>
            </w:r>
          </w:p>
        </w:tc>
        <w:tc>
          <w:tcPr>
            <w:tcW w:w="1276" w:type="dxa"/>
          </w:tcPr>
          <w:p w14:paraId="299F6A0C" w14:textId="18BEB745" w:rsidR="00455D37" w:rsidRPr="00844D38" w:rsidRDefault="00455D37" w:rsidP="00D91855">
            <w:pPr>
              <w:jc w:val="center"/>
              <w:rPr>
                <w:rFonts w:eastAsia="Times New Roman" w:cs="Calibri"/>
                <w:b/>
                <w:bCs/>
                <w:color w:val="000000"/>
              </w:rPr>
            </w:pPr>
            <w:r w:rsidRPr="002C1DC2">
              <w:t>7.85</w:t>
            </w:r>
          </w:p>
        </w:tc>
      </w:tr>
      <w:tr w:rsidR="00455D37" w:rsidRPr="00844D38" w14:paraId="325FB9F4" w14:textId="77777777" w:rsidTr="00455D37">
        <w:trPr>
          <w:trHeight w:val="495"/>
        </w:trPr>
        <w:tc>
          <w:tcPr>
            <w:tcW w:w="708" w:type="dxa"/>
          </w:tcPr>
          <w:p w14:paraId="743BC9DA" w14:textId="678991FA" w:rsidR="00455D37" w:rsidRPr="00844D38" w:rsidRDefault="00455D37" w:rsidP="00DB569E">
            <w:pPr>
              <w:jc w:val="center"/>
              <w:rPr>
                <w:rFonts w:eastAsia="Times New Roman" w:cs="Calibri"/>
                <w:b/>
                <w:bCs/>
                <w:color w:val="000000"/>
              </w:rPr>
            </w:pPr>
            <w:r w:rsidRPr="002C1DC2">
              <w:t>5</w:t>
            </w:r>
          </w:p>
        </w:tc>
        <w:tc>
          <w:tcPr>
            <w:tcW w:w="1419" w:type="dxa"/>
          </w:tcPr>
          <w:p w14:paraId="34BB9DE4" w14:textId="23B221B4" w:rsidR="00455D37" w:rsidRPr="00844D38" w:rsidRDefault="00455D37" w:rsidP="00DB569E">
            <w:pPr>
              <w:jc w:val="center"/>
              <w:rPr>
                <w:rFonts w:eastAsia="Times New Roman" w:cs="Calibri"/>
                <w:b/>
                <w:bCs/>
                <w:color w:val="000000"/>
              </w:rPr>
            </w:pPr>
            <w:r w:rsidRPr="002C1DC2">
              <w:t>17-000-017</w:t>
            </w:r>
          </w:p>
        </w:tc>
        <w:tc>
          <w:tcPr>
            <w:tcW w:w="2976" w:type="dxa"/>
          </w:tcPr>
          <w:p w14:paraId="1CA50AAC" w14:textId="03C3AFDD" w:rsidR="00455D37" w:rsidRPr="00844D38" w:rsidRDefault="00455D37" w:rsidP="00DB569E">
            <w:pPr>
              <w:jc w:val="center"/>
              <w:rPr>
                <w:rFonts w:eastAsia="Times New Roman" w:cs="Calibri"/>
                <w:b/>
                <w:bCs/>
                <w:color w:val="000000"/>
              </w:rPr>
            </w:pPr>
            <w:r w:rsidRPr="002C1DC2">
              <w:t xml:space="preserve">Digoxin specific antibody </w:t>
            </w:r>
            <w:proofErr w:type="spellStart"/>
            <w:r w:rsidRPr="002C1DC2">
              <w:t>Fargments</w:t>
            </w:r>
            <w:proofErr w:type="spellEnd"/>
            <w:r w:rsidRPr="002C1DC2">
              <w:t xml:space="preserve"> (FAB) 40mg Vial </w:t>
            </w:r>
            <w:r w:rsidRPr="002C1DC2">
              <w:rPr>
                <w:rtl/>
              </w:rPr>
              <w:t>يتم تثبيت الاحتياج من قبل وحدات المناطرة الدوائية التابعة لشعبة الصيدلة السريرية في م.بغداد التعليمي اضافة الى مركز استعلامات السموم + ذي قار</w:t>
            </w:r>
          </w:p>
        </w:tc>
        <w:tc>
          <w:tcPr>
            <w:tcW w:w="1276" w:type="dxa"/>
          </w:tcPr>
          <w:p w14:paraId="02972FF8" w14:textId="053E70FA" w:rsidR="00455D37" w:rsidRPr="00844D38" w:rsidRDefault="00455D37" w:rsidP="00D91855">
            <w:pPr>
              <w:jc w:val="center"/>
              <w:rPr>
                <w:rFonts w:eastAsia="Times New Roman" w:cs="Calibri"/>
                <w:b/>
                <w:bCs/>
                <w:color w:val="000000"/>
              </w:rPr>
            </w:pPr>
            <w:r w:rsidRPr="002C1DC2">
              <w:rPr>
                <w:rtl/>
              </w:rPr>
              <w:t>574</w:t>
            </w:r>
          </w:p>
        </w:tc>
        <w:tc>
          <w:tcPr>
            <w:tcW w:w="2126" w:type="dxa"/>
          </w:tcPr>
          <w:p w14:paraId="7D17FB81" w14:textId="4780E96E" w:rsidR="00455D37" w:rsidRPr="00844D38" w:rsidRDefault="00455D37" w:rsidP="00D91855">
            <w:pPr>
              <w:jc w:val="center"/>
              <w:rPr>
                <w:rFonts w:eastAsia="Times New Roman" w:cs="Calibri"/>
                <w:b/>
                <w:bCs/>
                <w:color w:val="000000"/>
              </w:rPr>
            </w:pPr>
            <w:r w:rsidRPr="002C1DC2">
              <w:rPr>
                <w:rtl/>
              </w:rPr>
              <w:t>ج/1144 تعديل التركيز يتم تثبيت الاحتياج من قبل وحدات المناطرة الدوائية التابعة لشعبة الصيدلة السريرية -تم اضافته الى قائمة ادوية الطوارئ ويتم توفيره في كافة المستشفيات الحاوية على ردهة طوارئ (كتاب قسم الصيدلة 3387 في 6/10/2019)</w:t>
            </w:r>
          </w:p>
        </w:tc>
        <w:tc>
          <w:tcPr>
            <w:tcW w:w="1134" w:type="dxa"/>
          </w:tcPr>
          <w:p w14:paraId="1C188FD6" w14:textId="37880D29" w:rsidR="00455D37" w:rsidRPr="00844D38" w:rsidRDefault="00455D37" w:rsidP="00D91855">
            <w:pPr>
              <w:jc w:val="center"/>
              <w:rPr>
                <w:rFonts w:eastAsia="Times New Roman" w:cs="Calibri"/>
                <w:b/>
                <w:bCs/>
                <w:color w:val="000000"/>
              </w:rPr>
            </w:pPr>
            <w:r w:rsidRPr="002C1DC2">
              <w:rPr>
                <w:rtl/>
              </w:rPr>
              <w:t>1</w:t>
            </w:r>
            <w:r w:rsidRPr="002C1DC2">
              <w:t xml:space="preserve"> vial</w:t>
            </w:r>
          </w:p>
        </w:tc>
        <w:tc>
          <w:tcPr>
            <w:tcW w:w="1276" w:type="dxa"/>
          </w:tcPr>
          <w:p w14:paraId="7552B49E" w14:textId="796D9C75" w:rsidR="00455D37" w:rsidRPr="00844D38" w:rsidRDefault="00455D37" w:rsidP="00D91855">
            <w:pPr>
              <w:jc w:val="center"/>
              <w:rPr>
                <w:rFonts w:eastAsia="Times New Roman" w:cs="Calibri"/>
                <w:b/>
                <w:bCs/>
                <w:color w:val="000000"/>
              </w:rPr>
            </w:pPr>
            <w:r w:rsidRPr="002C1DC2">
              <w:t>922.5</w:t>
            </w:r>
          </w:p>
        </w:tc>
        <w:tc>
          <w:tcPr>
            <w:tcW w:w="1276" w:type="dxa"/>
          </w:tcPr>
          <w:p w14:paraId="00E8143A" w14:textId="7D18280A" w:rsidR="00455D37" w:rsidRPr="00844D38" w:rsidRDefault="00455D37" w:rsidP="00D91855">
            <w:pPr>
              <w:jc w:val="center"/>
              <w:rPr>
                <w:rFonts w:eastAsia="Times New Roman" w:cs="Calibri"/>
                <w:b/>
                <w:bCs/>
                <w:color w:val="000000"/>
              </w:rPr>
            </w:pPr>
            <w:r w:rsidRPr="002C1DC2">
              <w:t>645.75</w:t>
            </w:r>
          </w:p>
        </w:tc>
        <w:tc>
          <w:tcPr>
            <w:tcW w:w="1134" w:type="dxa"/>
          </w:tcPr>
          <w:p w14:paraId="625CAE3D" w14:textId="22C50B6F" w:rsidR="00455D37" w:rsidRPr="00844D38" w:rsidRDefault="00455D37" w:rsidP="00D91855">
            <w:pPr>
              <w:jc w:val="center"/>
              <w:rPr>
                <w:rFonts w:eastAsia="Times New Roman" w:cs="Calibri"/>
                <w:b/>
                <w:bCs/>
                <w:color w:val="000000"/>
              </w:rPr>
            </w:pPr>
            <w:r w:rsidRPr="002C1DC2">
              <w:t>415.12</w:t>
            </w:r>
          </w:p>
        </w:tc>
        <w:tc>
          <w:tcPr>
            <w:tcW w:w="1276" w:type="dxa"/>
          </w:tcPr>
          <w:p w14:paraId="18954AB5" w14:textId="7C546847" w:rsidR="00455D37" w:rsidRPr="00844D38" w:rsidRDefault="00455D37" w:rsidP="00D91855">
            <w:pPr>
              <w:jc w:val="center"/>
              <w:rPr>
                <w:rFonts w:eastAsia="Times New Roman" w:cs="Calibri"/>
                <w:b/>
                <w:bCs/>
                <w:color w:val="000000"/>
              </w:rPr>
            </w:pPr>
            <w:r w:rsidRPr="002C1DC2">
              <w:t>230.6</w:t>
            </w:r>
          </w:p>
        </w:tc>
      </w:tr>
      <w:tr w:rsidR="00455D37" w:rsidRPr="00844D38" w14:paraId="63DD593F" w14:textId="77777777" w:rsidTr="00455D37">
        <w:trPr>
          <w:trHeight w:val="495"/>
        </w:trPr>
        <w:tc>
          <w:tcPr>
            <w:tcW w:w="708" w:type="dxa"/>
          </w:tcPr>
          <w:p w14:paraId="45FC8FDE" w14:textId="4D316C85" w:rsidR="00455D37" w:rsidRPr="00844D38" w:rsidRDefault="00455D37" w:rsidP="00DB569E">
            <w:pPr>
              <w:jc w:val="center"/>
              <w:rPr>
                <w:rFonts w:eastAsia="Times New Roman" w:cs="Calibri"/>
                <w:b/>
                <w:bCs/>
                <w:color w:val="000000"/>
              </w:rPr>
            </w:pPr>
            <w:r w:rsidRPr="002C1DC2">
              <w:t>6</w:t>
            </w:r>
          </w:p>
        </w:tc>
        <w:tc>
          <w:tcPr>
            <w:tcW w:w="1419" w:type="dxa"/>
          </w:tcPr>
          <w:p w14:paraId="0528226D" w14:textId="7C1D068D" w:rsidR="00455D37" w:rsidRPr="00844D38" w:rsidRDefault="00455D37" w:rsidP="00DB569E">
            <w:pPr>
              <w:jc w:val="center"/>
              <w:rPr>
                <w:rFonts w:eastAsia="Times New Roman" w:cs="Calibri"/>
                <w:b/>
                <w:bCs/>
                <w:color w:val="000000"/>
              </w:rPr>
            </w:pPr>
            <w:r w:rsidRPr="002C1DC2">
              <w:t>17-000-028</w:t>
            </w:r>
          </w:p>
        </w:tc>
        <w:tc>
          <w:tcPr>
            <w:tcW w:w="2976" w:type="dxa"/>
          </w:tcPr>
          <w:p w14:paraId="6FBD5CDA" w14:textId="00914012" w:rsidR="00455D37" w:rsidRPr="00844D38" w:rsidRDefault="00455D37" w:rsidP="00DB569E">
            <w:pPr>
              <w:jc w:val="center"/>
              <w:rPr>
                <w:rFonts w:eastAsia="Times New Roman" w:cs="Calibri"/>
                <w:b/>
                <w:bCs/>
                <w:color w:val="000000"/>
              </w:rPr>
            </w:pPr>
            <w:r w:rsidRPr="002C1DC2">
              <w:t xml:space="preserve">Naloxone hydrochloride 400mcg/ml (1ml) Ampoule or </w:t>
            </w:r>
            <w:proofErr w:type="spellStart"/>
            <w:r w:rsidRPr="002C1DC2">
              <w:lastRenderedPageBreak/>
              <w:t>Pfs</w:t>
            </w:r>
            <w:proofErr w:type="spellEnd"/>
            <w:r w:rsidRPr="002C1DC2">
              <w:t xml:space="preserve"> or vial </w:t>
            </w:r>
            <w:r w:rsidRPr="002C1DC2">
              <w:rPr>
                <w:rtl/>
              </w:rPr>
              <w:t>مع الاخذ بنظر الاعتبار استخدامه ضمن قائمة التخدير و قائمة السموم</w:t>
            </w:r>
          </w:p>
        </w:tc>
        <w:tc>
          <w:tcPr>
            <w:tcW w:w="1276" w:type="dxa"/>
          </w:tcPr>
          <w:p w14:paraId="4EA00C4F" w14:textId="5F5394EE" w:rsidR="00455D37" w:rsidRPr="00844D38" w:rsidRDefault="00455D37" w:rsidP="00D91855">
            <w:pPr>
              <w:jc w:val="center"/>
              <w:rPr>
                <w:rFonts w:eastAsia="Times New Roman" w:cs="Calibri"/>
                <w:b/>
                <w:bCs/>
                <w:color w:val="000000"/>
              </w:rPr>
            </w:pPr>
            <w:r w:rsidRPr="002C1DC2">
              <w:rPr>
                <w:rtl/>
              </w:rPr>
              <w:lastRenderedPageBreak/>
              <w:t>6679</w:t>
            </w:r>
          </w:p>
        </w:tc>
        <w:tc>
          <w:tcPr>
            <w:tcW w:w="2126" w:type="dxa"/>
          </w:tcPr>
          <w:p w14:paraId="6D0508F0" w14:textId="2485569D" w:rsidR="00455D37" w:rsidRPr="00844D38" w:rsidRDefault="00455D37" w:rsidP="00D91855">
            <w:pPr>
              <w:jc w:val="center"/>
              <w:rPr>
                <w:rFonts w:eastAsia="Times New Roman" w:cs="Calibri"/>
                <w:b/>
                <w:bCs/>
                <w:color w:val="000000"/>
              </w:rPr>
            </w:pPr>
            <w:r w:rsidRPr="002C1DC2">
              <w:rPr>
                <w:rtl/>
              </w:rPr>
              <w:t xml:space="preserve">مع الاخذ بنظر الاعتبار استخدامه ضمن قائمة التخدير و قائمة </w:t>
            </w:r>
            <w:r w:rsidRPr="002C1DC2">
              <w:rPr>
                <w:rtl/>
              </w:rPr>
              <w:lastRenderedPageBreak/>
              <w:t>السموم1039</w:t>
            </w:r>
          </w:p>
        </w:tc>
        <w:tc>
          <w:tcPr>
            <w:tcW w:w="1134" w:type="dxa"/>
          </w:tcPr>
          <w:p w14:paraId="7534E202" w14:textId="2A589669" w:rsidR="00455D37" w:rsidRPr="00844D38" w:rsidRDefault="00455D37" w:rsidP="00D91855">
            <w:pPr>
              <w:jc w:val="center"/>
              <w:rPr>
                <w:rFonts w:eastAsia="Times New Roman" w:cs="Calibri"/>
                <w:b/>
                <w:bCs/>
                <w:color w:val="000000"/>
              </w:rPr>
            </w:pPr>
            <w:r w:rsidRPr="002C1DC2">
              <w:rPr>
                <w:rtl/>
              </w:rPr>
              <w:lastRenderedPageBreak/>
              <w:t>10</w:t>
            </w:r>
            <w:r w:rsidRPr="002C1DC2">
              <w:t xml:space="preserve"> amp</w:t>
            </w:r>
          </w:p>
        </w:tc>
        <w:tc>
          <w:tcPr>
            <w:tcW w:w="1276" w:type="dxa"/>
          </w:tcPr>
          <w:p w14:paraId="08CF6CA1" w14:textId="238EF7AA" w:rsidR="00455D37" w:rsidRPr="00844D38" w:rsidRDefault="00455D37" w:rsidP="00D91855">
            <w:pPr>
              <w:jc w:val="center"/>
              <w:rPr>
                <w:rFonts w:eastAsia="Times New Roman" w:cs="Calibri"/>
                <w:b/>
                <w:bCs/>
                <w:color w:val="000000"/>
              </w:rPr>
            </w:pPr>
            <w:r w:rsidRPr="002C1DC2">
              <w:t>55</w:t>
            </w:r>
          </w:p>
        </w:tc>
        <w:tc>
          <w:tcPr>
            <w:tcW w:w="1276" w:type="dxa"/>
          </w:tcPr>
          <w:p w14:paraId="18870062" w14:textId="3EBFED1B" w:rsidR="00455D37" w:rsidRPr="00844D38" w:rsidRDefault="00455D37" w:rsidP="00D91855">
            <w:pPr>
              <w:jc w:val="center"/>
              <w:rPr>
                <w:rFonts w:eastAsia="Times New Roman" w:cs="Calibri"/>
                <w:b/>
                <w:bCs/>
                <w:color w:val="000000"/>
              </w:rPr>
            </w:pPr>
            <w:r w:rsidRPr="002C1DC2">
              <w:t>38.5</w:t>
            </w:r>
          </w:p>
        </w:tc>
        <w:tc>
          <w:tcPr>
            <w:tcW w:w="1134" w:type="dxa"/>
          </w:tcPr>
          <w:p w14:paraId="0E26634E" w14:textId="63F7EF10" w:rsidR="00455D37" w:rsidRPr="00844D38" w:rsidRDefault="00455D37" w:rsidP="00D91855">
            <w:pPr>
              <w:jc w:val="center"/>
              <w:rPr>
                <w:rFonts w:eastAsia="Times New Roman" w:cs="Calibri"/>
                <w:b/>
                <w:bCs/>
                <w:color w:val="000000"/>
              </w:rPr>
            </w:pPr>
            <w:r w:rsidRPr="002C1DC2">
              <w:t>24.75</w:t>
            </w:r>
          </w:p>
        </w:tc>
        <w:tc>
          <w:tcPr>
            <w:tcW w:w="1276" w:type="dxa"/>
          </w:tcPr>
          <w:p w14:paraId="71BC678C" w14:textId="399B12E1" w:rsidR="00455D37" w:rsidRPr="00844D38" w:rsidRDefault="00455D37" w:rsidP="00D91855">
            <w:pPr>
              <w:jc w:val="center"/>
              <w:rPr>
                <w:rFonts w:eastAsia="Times New Roman" w:cs="Calibri"/>
                <w:b/>
                <w:bCs/>
                <w:color w:val="000000"/>
              </w:rPr>
            </w:pPr>
            <w:r w:rsidRPr="002C1DC2">
              <w:t>13.75</w:t>
            </w:r>
          </w:p>
        </w:tc>
      </w:tr>
      <w:tr w:rsidR="00455D37" w:rsidRPr="00844D38" w14:paraId="3FF711A0" w14:textId="77777777" w:rsidTr="00455D37">
        <w:trPr>
          <w:trHeight w:val="495"/>
        </w:trPr>
        <w:tc>
          <w:tcPr>
            <w:tcW w:w="708" w:type="dxa"/>
          </w:tcPr>
          <w:p w14:paraId="1BF11F7E" w14:textId="0D3001F5" w:rsidR="00455D37" w:rsidRPr="00844D38" w:rsidRDefault="00455D37" w:rsidP="00DB569E">
            <w:pPr>
              <w:jc w:val="center"/>
              <w:rPr>
                <w:rFonts w:eastAsia="Times New Roman" w:cs="Calibri"/>
                <w:b/>
                <w:bCs/>
                <w:color w:val="000000"/>
              </w:rPr>
            </w:pPr>
            <w:r w:rsidRPr="002C1DC2">
              <w:lastRenderedPageBreak/>
              <w:t>7</w:t>
            </w:r>
          </w:p>
        </w:tc>
        <w:tc>
          <w:tcPr>
            <w:tcW w:w="1419" w:type="dxa"/>
          </w:tcPr>
          <w:p w14:paraId="0C51D3FB" w14:textId="05C7BAAC" w:rsidR="00455D37" w:rsidRPr="00844D38" w:rsidRDefault="00455D37" w:rsidP="00DB569E">
            <w:pPr>
              <w:jc w:val="center"/>
              <w:rPr>
                <w:rFonts w:eastAsia="Times New Roman" w:cs="Calibri"/>
                <w:b/>
                <w:bCs/>
                <w:color w:val="000000"/>
              </w:rPr>
            </w:pPr>
            <w:r w:rsidRPr="002C1DC2">
              <w:t>17-000-034</w:t>
            </w:r>
          </w:p>
        </w:tc>
        <w:tc>
          <w:tcPr>
            <w:tcW w:w="2976" w:type="dxa"/>
          </w:tcPr>
          <w:p w14:paraId="3A3E084B" w14:textId="5A510178" w:rsidR="00455D37" w:rsidRPr="00844D38" w:rsidRDefault="00455D37" w:rsidP="00DB569E">
            <w:pPr>
              <w:jc w:val="center"/>
              <w:rPr>
                <w:rFonts w:eastAsia="Times New Roman" w:cs="Calibri"/>
                <w:b/>
                <w:bCs/>
                <w:color w:val="000000"/>
              </w:rPr>
            </w:pPr>
            <w:proofErr w:type="spellStart"/>
            <w:r w:rsidRPr="002C1DC2">
              <w:t>Pralidoxime</w:t>
            </w:r>
            <w:proofErr w:type="spellEnd"/>
            <w:r w:rsidRPr="002C1DC2">
              <w:t xml:space="preserve"> </w:t>
            </w:r>
            <w:proofErr w:type="spellStart"/>
            <w:r w:rsidRPr="002C1DC2">
              <w:t>mesylate</w:t>
            </w:r>
            <w:proofErr w:type="spellEnd"/>
            <w:r w:rsidRPr="002C1DC2">
              <w:t xml:space="preserve"> 1g/5ml (5ml Ampoule) </w:t>
            </w:r>
            <w:r w:rsidRPr="002C1DC2">
              <w:rPr>
                <w:rtl/>
              </w:rPr>
              <w:t>يتم تثبيت الاحتياج من قبل المركز الاستشاري لاستعلامات السموم + ذي قار</w:t>
            </w:r>
          </w:p>
        </w:tc>
        <w:tc>
          <w:tcPr>
            <w:tcW w:w="1276" w:type="dxa"/>
          </w:tcPr>
          <w:p w14:paraId="78D1035A" w14:textId="70B24024" w:rsidR="00455D37" w:rsidRPr="00844D38" w:rsidRDefault="00455D37" w:rsidP="00D91855">
            <w:pPr>
              <w:jc w:val="center"/>
              <w:rPr>
                <w:rFonts w:eastAsia="Times New Roman" w:cs="Calibri"/>
                <w:b/>
                <w:bCs/>
                <w:color w:val="000000"/>
              </w:rPr>
            </w:pPr>
            <w:r w:rsidRPr="002C1DC2">
              <w:rPr>
                <w:rtl/>
              </w:rPr>
              <w:t>2984</w:t>
            </w:r>
          </w:p>
        </w:tc>
        <w:tc>
          <w:tcPr>
            <w:tcW w:w="2126" w:type="dxa"/>
          </w:tcPr>
          <w:p w14:paraId="057A994C" w14:textId="0153A655" w:rsidR="00455D37" w:rsidRPr="00844D38" w:rsidRDefault="00455D37" w:rsidP="00D91855">
            <w:pPr>
              <w:jc w:val="center"/>
              <w:rPr>
                <w:rFonts w:eastAsia="Times New Roman" w:cs="Calibri"/>
                <w:b/>
                <w:bCs/>
                <w:color w:val="000000"/>
              </w:rPr>
            </w:pPr>
            <w:r w:rsidRPr="002C1DC2">
              <w:rPr>
                <w:rtl/>
              </w:rPr>
              <w:t>تم اضافته الى قائمة ادوية الطوارئ ويتم توفيره في كافة المستشفيات الحاوية على ردهة طوارئ (كتاب قسم الصيدلة 3387 في 6/10/2019)</w:t>
            </w:r>
          </w:p>
        </w:tc>
        <w:tc>
          <w:tcPr>
            <w:tcW w:w="1134" w:type="dxa"/>
          </w:tcPr>
          <w:p w14:paraId="4B57A6FD" w14:textId="0120CB19" w:rsidR="00455D37" w:rsidRPr="00844D38" w:rsidRDefault="00455D37" w:rsidP="00D91855">
            <w:pPr>
              <w:jc w:val="center"/>
              <w:rPr>
                <w:rFonts w:eastAsia="Times New Roman" w:cs="Calibri"/>
                <w:b/>
                <w:bCs/>
                <w:color w:val="000000"/>
              </w:rPr>
            </w:pPr>
            <w:r w:rsidRPr="002C1DC2">
              <w:rPr>
                <w:rtl/>
              </w:rPr>
              <w:t>1</w:t>
            </w:r>
            <w:r w:rsidRPr="002C1DC2">
              <w:t>amp(5ml)</w:t>
            </w:r>
          </w:p>
        </w:tc>
        <w:tc>
          <w:tcPr>
            <w:tcW w:w="1276" w:type="dxa"/>
          </w:tcPr>
          <w:p w14:paraId="7CAE2274" w14:textId="621C24BF" w:rsidR="00455D37" w:rsidRPr="00844D38" w:rsidRDefault="00455D37" w:rsidP="00D91855">
            <w:pPr>
              <w:jc w:val="center"/>
              <w:rPr>
                <w:rFonts w:eastAsia="Times New Roman" w:cs="Calibri"/>
                <w:b/>
                <w:bCs/>
                <w:color w:val="000000"/>
              </w:rPr>
            </w:pPr>
            <w:r w:rsidRPr="002C1DC2">
              <w:t>5.1</w:t>
            </w:r>
          </w:p>
        </w:tc>
        <w:tc>
          <w:tcPr>
            <w:tcW w:w="1276" w:type="dxa"/>
          </w:tcPr>
          <w:p w14:paraId="3F6CC795" w14:textId="6CBA8E3C" w:rsidR="00455D37" w:rsidRPr="00844D38" w:rsidRDefault="00455D37" w:rsidP="00D91855">
            <w:pPr>
              <w:jc w:val="center"/>
              <w:rPr>
                <w:rFonts w:eastAsia="Times New Roman" w:cs="Calibri"/>
                <w:b/>
                <w:bCs/>
                <w:color w:val="000000"/>
              </w:rPr>
            </w:pPr>
            <w:r w:rsidRPr="002C1DC2">
              <w:t>3.57</w:t>
            </w:r>
          </w:p>
        </w:tc>
        <w:tc>
          <w:tcPr>
            <w:tcW w:w="1134" w:type="dxa"/>
          </w:tcPr>
          <w:p w14:paraId="4B317A51" w14:textId="4BEF7308" w:rsidR="00455D37" w:rsidRPr="00844D38" w:rsidRDefault="00455D37" w:rsidP="00D91855">
            <w:pPr>
              <w:jc w:val="center"/>
              <w:rPr>
                <w:rFonts w:eastAsia="Times New Roman" w:cs="Calibri"/>
                <w:b/>
                <w:bCs/>
                <w:color w:val="000000"/>
              </w:rPr>
            </w:pPr>
            <w:r w:rsidRPr="002C1DC2">
              <w:t>2.29</w:t>
            </w:r>
          </w:p>
        </w:tc>
        <w:tc>
          <w:tcPr>
            <w:tcW w:w="1276" w:type="dxa"/>
          </w:tcPr>
          <w:p w14:paraId="442E5170" w14:textId="3C1CCEA7" w:rsidR="00455D37" w:rsidRPr="00844D38" w:rsidRDefault="00455D37" w:rsidP="00D91855">
            <w:pPr>
              <w:jc w:val="center"/>
              <w:rPr>
                <w:rFonts w:eastAsia="Times New Roman" w:cs="Calibri"/>
                <w:b/>
                <w:bCs/>
                <w:color w:val="000000"/>
              </w:rPr>
            </w:pPr>
            <w:r w:rsidRPr="002C1DC2">
              <w:t>1.27</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330223C" w14:textId="77777777" w:rsidR="0064721A" w:rsidRDefault="0064721A"/>
    <w:p w14:paraId="3E608D0A" w14:textId="77777777" w:rsidR="00D91855" w:rsidRDefault="00D91855"/>
    <w:p w14:paraId="190F9C4A" w14:textId="77777777" w:rsidR="00D91855" w:rsidRDefault="00D91855"/>
    <w:p w14:paraId="1581128F" w14:textId="77777777" w:rsidR="00D91855" w:rsidRDefault="00D91855"/>
    <w:p w14:paraId="774CF235" w14:textId="77777777" w:rsidR="005336FA" w:rsidRDefault="005336FA"/>
    <w:p w14:paraId="5DF4CFC4" w14:textId="77777777" w:rsidR="005336FA" w:rsidRDefault="005336FA"/>
    <w:p w14:paraId="13D37D6E" w14:textId="77777777" w:rsidR="005336FA" w:rsidRDefault="005336FA"/>
    <w:p w14:paraId="337F95AA" w14:textId="77777777" w:rsidR="005336FA" w:rsidRDefault="005336FA"/>
    <w:p w14:paraId="409D7725" w14:textId="77777777" w:rsidR="005336FA" w:rsidRDefault="005336FA"/>
    <w:p w14:paraId="13B1AA87" w14:textId="77777777" w:rsidR="00D91855" w:rsidRDefault="00D91855"/>
    <w:p w14:paraId="21E7C7D3" w14:textId="77777777" w:rsidR="00D91855" w:rsidRDefault="00D91855"/>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lastRenderedPageBreak/>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lastRenderedPageBreak/>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The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63D9205E" w:rsidR="00672659" w:rsidRPr="004D22E1" w:rsidRDefault="00672659" w:rsidP="00455D3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455D37">
              <w:rPr>
                <w:rFonts w:ascii="Arial" w:hAnsi="Arial"/>
                <w:b/>
                <w:spacing w:val="-2"/>
                <w:sz w:val="24"/>
                <w:szCs w:val="24"/>
                <w:highlight w:val="cyan"/>
              </w:rPr>
              <w:t>3</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0062668C">
              <w:rPr>
                <w:rFonts w:ascii="Arial" w:hAnsi="Arial"/>
                <w:b/>
                <w:spacing w:val="-2"/>
                <w:sz w:val="24"/>
                <w:szCs w:val="24"/>
                <w:highlight w:val="cyan"/>
              </w:rPr>
              <w:t>C</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077298DC" w:rsidR="00672659" w:rsidRPr="004D22E1" w:rsidRDefault="00672659" w:rsidP="00455D37">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455D37">
              <w:rPr>
                <w:rFonts w:ascii="Arial" w:hAnsi="Arial"/>
                <w:bCs/>
                <w:spacing w:val="-2"/>
                <w:sz w:val="24"/>
                <w:szCs w:val="24"/>
              </w:rPr>
              <w:t>3</w:t>
            </w:r>
            <w:r w:rsidR="0062668C">
              <w:rPr>
                <w:rFonts w:ascii="Arial" w:hAnsi="Arial"/>
                <w:bCs/>
                <w:spacing w:val="-2"/>
                <w:sz w:val="24"/>
                <w:szCs w:val="24"/>
              </w:rPr>
              <w:t>C</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410BFFCE" w:rsidR="00672659" w:rsidRPr="004D22E1" w:rsidRDefault="00672659" w:rsidP="0062668C">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62668C">
              <w:rPr>
                <w:rFonts w:ascii="Arial" w:hAnsi="Arial"/>
                <w:b/>
                <w:sz w:val="24"/>
                <w:szCs w:val="24"/>
                <w:highlight w:val="yellow"/>
                <w:lang w:val="en-GB"/>
              </w:rPr>
              <w:t>12</w:t>
            </w:r>
            <w:r w:rsidRPr="004D22E1">
              <w:rPr>
                <w:rFonts w:ascii="Arial" w:hAnsi="Arial"/>
                <w:b/>
                <w:sz w:val="24"/>
                <w:szCs w:val="24"/>
                <w:highlight w:val="yellow"/>
                <w:lang w:val="en-GB"/>
              </w:rPr>
              <w:t xml:space="preserve"> /  </w:t>
            </w:r>
            <w:r w:rsidR="0062668C">
              <w:rPr>
                <w:rFonts w:ascii="Arial" w:hAnsi="Arial"/>
                <w:b/>
                <w:sz w:val="24"/>
                <w:szCs w:val="24"/>
                <w:highlight w:val="yellow"/>
                <w:lang w:val="en-GB"/>
              </w:rPr>
              <w:t>4</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when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4211AEA3" w:rsidR="00672659" w:rsidRPr="004D22E1" w:rsidRDefault="00672659" w:rsidP="0062668C">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62668C">
              <w:rPr>
                <w:rFonts w:ascii="Arial Narrow" w:eastAsia="Calibri" w:hAnsi="Arial Narrow" w:cs="Arial"/>
                <w:sz w:val="24"/>
                <w:szCs w:val="24"/>
                <w:highlight w:val="cyan"/>
              </w:rPr>
              <w:t>19</w:t>
            </w:r>
            <w:r w:rsidRPr="004D22E1">
              <w:rPr>
                <w:rFonts w:ascii="Arial Narrow" w:eastAsia="Calibri" w:hAnsi="Arial Narrow" w:cs="Arial"/>
                <w:sz w:val="24"/>
                <w:szCs w:val="24"/>
                <w:highlight w:val="cyan"/>
              </w:rPr>
              <w:t xml:space="preserve">  /  </w:t>
            </w:r>
            <w:r w:rsidR="00086006">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6F2B0D02" w:rsidR="00672659" w:rsidRPr="004D22E1" w:rsidRDefault="00672659" w:rsidP="0062668C">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8C600C">
              <w:rPr>
                <w:rFonts w:ascii="Arial Narrow" w:eastAsia="Calibri" w:hAnsi="Arial Narrow" w:cs="Arial"/>
                <w:sz w:val="24"/>
                <w:szCs w:val="24"/>
              </w:rPr>
              <w:t xml:space="preserve"> </w:t>
            </w:r>
            <w:r w:rsidR="0062668C">
              <w:rPr>
                <w:rFonts w:ascii="Arial Narrow" w:eastAsia="Calibri" w:hAnsi="Arial Narrow" w:cs="Arial"/>
                <w:sz w:val="24"/>
                <w:szCs w:val="24"/>
              </w:rPr>
              <w:t>17</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086006">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3BB4471B" w:rsidR="00672659" w:rsidRPr="004D22E1" w:rsidRDefault="00672659" w:rsidP="0062668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62668C">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62668C">
              <w:rPr>
                <w:rFonts w:ascii="Arial" w:hAnsi="Arial"/>
                <w:bCs/>
                <w:spacing w:val="-2"/>
                <w:sz w:val="24"/>
                <w:szCs w:val="24"/>
              </w:rPr>
              <w:t>C</w:t>
            </w:r>
          </w:p>
          <w:p w14:paraId="0E828F6C" w14:textId="7E787B22" w:rsidR="00672659" w:rsidRPr="004D22E1" w:rsidRDefault="00672659" w:rsidP="0062668C">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62668C">
              <w:rPr>
                <w:rFonts w:ascii="Arial" w:hAnsi="Arial"/>
                <w:bCs/>
                <w:spacing w:val="-2"/>
                <w:sz w:val="24"/>
                <w:szCs w:val="24"/>
                <w:u w:val="single"/>
              </w:rPr>
              <w:t>2C</w:t>
            </w:r>
            <w:r w:rsidRPr="004D22E1">
              <w:rPr>
                <w:rFonts w:ascii="Arial" w:hAnsi="Arial"/>
                <w:bCs/>
                <w:spacing w:val="-2"/>
                <w:sz w:val="24"/>
                <w:szCs w:val="24"/>
                <w:u w:val="single"/>
              </w:rPr>
              <w:t>:</w:t>
            </w:r>
            <w:r w:rsidRPr="004D22E1">
              <w:rPr>
                <w:rFonts w:ascii="Arial" w:hAnsi="Arial"/>
                <w:sz w:val="24"/>
                <w:szCs w:val="24"/>
                <w:lang w:val="en-GB"/>
              </w:rPr>
              <w:t xml:space="preserve"> </w:t>
            </w:r>
            <w:r w:rsidR="00B55D0D">
              <w:rPr>
                <w:rFonts w:ascii="Arial" w:hAnsi="Arial"/>
                <w:sz w:val="24"/>
                <w:szCs w:val="24"/>
                <w:lang w:val="en-GB"/>
              </w:rPr>
              <w:tab/>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1055C126" w:rsidR="00672659" w:rsidRPr="004D22E1" w:rsidRDefault="00672659" w:rsidP="0062668C">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62668C">
              <w:rPr>
                <w:rFonts w:ascii="Arial" w:hAnsi="Arial"/>
                <w:sz w:val="24"/>
                <w:szCs w:val="24"/>
                <w:highlight w:val="yellow"/>
                <w:lang w:val="en-GB"/>
              </w:rPr>
              <w:t>19</w:t>
            </w:r>
            <w:r w:rsidRPr="008C600C">
              <w:rPr>
                <w:rFonts w:ascii="Arial" w:hAnsi="Arial"/>
                <w:sz w:val="24"/>
                <w:szCs w:val="24"/>
                <w:highlight w:val="yellow"/>
                <w:lang w:val="en-GB"/>
              </w:rPr>
              <w:t xml:space="preserve">  /    </w:t>
            </w:r>
            <w:r w:rsidR="00B55D0D">
              <w:rPr>
                <w:rFonts w:ascii="Arial" w:hAnsi="Arial"/>
                <w:sz w:val="24"/>
                <w:szCs w:val="24"/>
                <w:highlight w:val="yellow"/>
                <w:lang w:val="en-GB"/>
              </w:rPr>
              <w:t>4</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0E0CC8B5" w:rsidR="00672659" w:rsidRPr="004D22E1" w:rsidRDefault="00672659" w:rsidP="0062668C">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62668C">
              <w:rPr>
                <w:rFonts w:ascii="Arial" w:hAnsi="Arial"/>
                <w:bCs/>
                <w:sz w:val="24"/>
                <w:szCs w:val="24"/>
              </w:rPr>
              <w:t>20</w:t>
            </w:r>
            <w:r w:rsidRPr="004D22E1">
              <w:rPr>
                <w:rFonts w:ascii="Arial" w:hAnsi="Arial"/>
                <w:bCs/>
                <w:sz w:val="24"/>
                <w:szCs w:val="24"/>
              </w:rPr>
              <w:t xml:space="preserve">  </w:t>
            </w:r>
            <w:r w:rsidRPr="004D22E1">
              <w:rPr>
                <w:rFonts w:ascii="Arial" w:hAnsi="Arial"/>
                <w:bCs/>
                <w:sz w:val="24"/>
                <w:szCs w:val="24"/>
                <w:lang w:val="en-GB"/>
              </w:rPr>
              <w:t xml:space="preserve">–   </w:t>
            </w:r>
            <w:r w:rsidR="00B55D0D">
              <w:rPr>
                <w:rFonts w:ascii="Arial" w:hAnsi="Arial"/>
                <w:bCs/>
                <w:sz w:val="24"/>
                <w:szCs w:val="24"/>
                <w:lang w:val="en-GB"/>
              </w:rPr>
              <w:t>4</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
        <w:gridCol w:w="552"/>
        <w:gridCol w:w="938"/>
        <w:gridCol w:w="539"/>
        <w:gridCol w:w="1308"/>
        <w:gridCol w:w="682"/>
        <w:gridCol w:w="359"/>
        <w:gridCol w:w="290"/>
        <w:gridCol w:w="638"/>
        <w:gridCol w:w="601"/>
        <w:gridCol w:w="522"/>
        <w:gridCol w:w="533"/>
        <w:gridCol w:w="579"/>
        <w:gridCol w:w="419"/>
        <w:gridCol w:w="372"/>
        <w:gridCol w:w="427"/>
        <w:gridCol w:w="448"/>
        <w:gridCol w:w="465"/>
        <w:gridCol w:w="372"/>
        <w:gridCol w:w="541"/>
        <w:gridCol w:w="598"/>
        <w:gridCol w:w="501"/>
        <w:gridCol w:w="480"/>
        <w:gridCol w:w="429"/>
        <w:gridCol w:w="493"/>
        <w:gridCol w:w="598"/>
      </w:tblGrid>
      <w:tr w:rsidR="00DE11BF" w:rsidRPr="00233B59" w14:paraId="6678F53F" w14:textId="77777777" w:rsidTr="0062668C">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62668C">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55D37" w:rsidRPr="00233B59" w14:paraId="44A2A021" w14:textId="77777777" w:rsidTr="0062668C">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455D37" w:rsidRPr="00233B59" w14:paraId="370DF3F8" w14:textId="77777777" w:rsidTr="0062668C">
        <w:tc>
          <w:tcPr>
            <w:tcW w:w="133" w:type="pct"/>
            <w:shd w:val="clear" w:color="auto" w:fill="auto"/>
          </w:tcPr>
          <w:p w14:paraId="2DE5E5FC" w14:textId="044CB718" w:rsidR="00455D37" w:rsidRPr="00D14D22"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bookmarkStart w:id="55" w:name="_GoBack" w:colFirst="6" w:colLast="6"/>
            <w:r w:rsidRPr="004E2474">
              <w:t>1</w:t>
            </w:r>
          </w:p>
        </w:tc>
        <w:tc>
          <w:tcPr>
            <w:tcW w:w="210" w:type="pct"/>
            <w:shd w:val="clear" w:color="auto" w:fill="auto"/>
            <w:vAlign w:val="center"/>
          </w:tcPr>
          <w:p w14:paraId="67B4BFC6"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455D37" w:rsidRPr="00C6441A" w:rsidRDefault="00455D37" w:rsidP="00073752"/>
        </w:tc>
        <w:tc>
          <w:tcPr>
            <w:tcW w:w="184" w:type="pct"/>
            <w:shd w:val="clear" w:color="auto" w:fill="auto"/>
          </w:tcPr>
          <w:p w14:paraId="2A6406ED" w14:textId="6A4E87A9" w:rsidR="00455D37" w:rsidRPr="00614F84" w:rsidRDefault="00455D37" w:rsidP="00D36B35">
            <w:pPr>
              <w:jc w:val="center"/>
              <w:rPr>
                <w:rFonts w:ascii="Cambria" w:eastAsia="Times New Roman" w:hAnsi="Cambria" w:cs="Times New Roman"/>
                <w:color w:val="000000"/>
                <w:sz w:val="20"/>
                <w:szCs w:val="20"/>
              </w:rPr>
            </w:pPr>
            <w:r w:rsidRPr="00C37DD9">
              <w:t>04-J00-017</w:t>
            </w:r>
          </w:p>
        </w:tc>
        <w:tc>
          <w:tcPr>
            <w:tcW w:w="178" w:type="pct"/>
            <w:shd w:val="clear" w:color="auto" w:fill="auto"/>
          </w:tcPr>
          <w:p w14:paraId="5A6A83FE" w14:textId="61B7481E" w:rsidR="00455D37" w:rsidRPr="00614F84" w:rsidRDefault="00455D37" w:rsidP="00F359AA">
            <w:pPr>
              <w:jc w:val="center"/>
              <w:rPr>
                <w:rFonts w:ascii="Cambria" w:eastAsia="Times New Roman" w:hAnsi="Cambria" w:cs="Times New Roman"/>
                <w:color w:val="000000"/>
              </w:rPr>
            </w:pPr>
            <w:proofErr w:type="spellStart"/>
            <w:r w:rsidRPr="00C37DD9">
              <w:t>Phenobarbitone</w:t>
            </w:r>
            <w:proofErr w:type="spellEnd"/>
            <w:r w:rsidRPr="00C37DD9">
              <w:t xml:space="preserve"> sodium 200mg/ml (1ml) Ampoule I.M , I.V. or (SC. IM or IV) </w:t>
            </w:r>
            <w:r w:rsidRPr="00C37DD9">
              <w:rPr>
                <w:rtl/>
              </w:rPr>
              <w:t>المادة دواء طواريء ولا يعطى (الا بالوريد بعد التخفيف بنسبة واحد في عشرة (مل واحد يخلط مع 10 مل ماء للزرق)1128</w:t>
            </w:r>
          </w:p>
        </w:tc>
        <w:tc>
          <w:tcPr>
            <w:tcW w:w="262" w:type="pct"/>
            <w:shd w:val="clear" w:color="auto" w:fill="auto"/>
            <w:vAlign w:val="center"/>
          </w:tcPr>
          <w:p w14:paraId="43569591" w14:textId="77777777" w:rsidR="00455D37" w:rsidRPr="00F04CA9" w:rsidRDefault="00455D37"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455D37" w:rsidRDefault="00455D37" w:rsidP="00073752">
            <w:pPr>
              <w:rPr>
                <w:rFonts w:cs="Calibri"/>
                <w:color w:val="000000"/>
              </w:rPr>
            </w:pPr>
          </w:p>
        </w:tc>
        <w:tc>
          <w:tcPr>
            <w:tcW w:w="106" w:type="pct"/>
            <w:shd w:val="clear" w:color="auto" w:fill="auto"/>
            <w:vAlign w:val="bottom"/>
          </w:tcPr>
          <w:p w14:paraId="10CC41CC" w14:textId="77777777" w:rsidR="00455D37" w:rsidRDefault="00455D37" w:rsidP="00073752">
            <w:pPr>
              <w:rPr>
                <w:rFonts w:cs="Calibri"/>
                <w:color w:val="000000"/>
                <w:sz w:val="16"/>
                <w:szCs w:val="16"/>
              </w:rPr>
            </w:pPr>
          </w:p>
        </w:tc>
        <w:tc>
          <w:tcPr>
            <w:tcW w:w="245" w:type="pct"/>
            <w:shd w:val="clear" w:color="auto" w:fill="auto"/>
            <w:vAlign w:val="bottom"/>
          </w:tcPr>
          <w:p w14:paraId="0704F087" w14:textId="77777777" w:rsidR="00455D37" w:rsidRDefault="00455D37" w:rsidP="00073752">
            <w:pPr>
              <w:rPr>
                <w:rFonts w:cs="Calibri"/>
                <w:color w:val="000000"/>
                <w:sz w:val="16"/>
                <w:szCs w:val="16"/>
              </w:rPr>
            </w:pPr>
          </w:p>
        </w:tc>
        <w:tc>
          <w:tcPr>
            <w:tcW w:w="230" w:type="pct"/>
            <w:shd w:val="clear" w:color="auto" w:fill="auto"/>
            <w:vAlign w:val="bottom"/>
          </w:tcPr>
          <w:p w14:paraId="638C0E1C" w14:textId="77777777" w:rsidR="00455D37" w:rsidRDefault="00455D37" w:rsidP="00073752">
            <w:pPr>
              <w:rPr>
                <w:rFonts w:cs="Calibri"/>
                <w:color w:val="000000"/>
                <w:sz w:val="16"/>
                <w:szCs w:val="16"/>
              </w:rPr>
            </w:pPr>
          </w:p>
        </w:tc>
        <w:tc>
          <w:tcPr>
            <w:tcW w:w="199" w:type="pct"/>
            <w:shd w:val="clear" w:color="auto" w:fill="auto"/>
            <w:vAlign w:val="bottom"/>
          </w:tcPr>
          <w:p w14:paraId="0F062250" w14:textId="77777777" w:rsidR="00455D37" w:rsidRDefault="00455D37" w:rsidP="00073752">
            <w:pPr>
              <w:rPr>
                <w:rFonts w:cs="Calibri"/>
                <w:color w:val="000000"/>
                <w:sz w:val="16"/>
                <w:szCs w:val="16"/>
              </w:rPr>
            </w:pPr>
          </w:p>
        </w:tc>
        <w:tc>
          <w:tcPr>
            <w:tcW w:w="203" w:type="pct"/>
            <w:shd w:val="clear" w:color="auto" w:fill="auto"/>
            <w:vAlign w:val="center"/>
          </w:tcPr>
          <w:p w14:paraId="795F1E3E"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455D37" w:rsidRPr="00233B59"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37ED1B4D"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455D37"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47E50AE6"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5"/>
      <w:tr w:rsidR="00455D37" w:rsidRPr="00233B59" w14:paraId="1DF4F72D" w14:textId="77777777" w:rsidTr="0062668C">
        <w:tc>
          <w:tcPr>
            <w:tcW w:w="133" w:type="pct"/>
            <w:shd w:val="clear" w:color="auto" w:fill="auto"/>
          </w:tcPr>
          <w:p w14:paraId="32E2B897" w14:textId="0E18C6E6" w:rsidR="00455D37" w:rsidRPr="00D14D22"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lastRenderedPageBreak/>
              <w:t>2</w:t>
            </w:r>
          </w:p>
        </w:tc>
        <w:tc>
          <w:tcPr>
            <w:tcW w:w="210" w:type="pct"/>
            <w:shd w:val="clear" w:color="auto" w:fill="auto"/>
            <w:vAlign w:val="center"/>
          </w:tcPr>
          <w:p w14:paraId="3ED050D3"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8B97712" w14:textId="77777777" w:rsidR="00455D37" w:rsidRPr="00C6441A" w:rsidRDefault="00455D37" w:rsidP="00073752"/>
        </w:tc>
        <w:tc>
          <w:tcPr>
            <w:tcW w:w="184" w:type="pct"/>
            <w:shd w:val="clear" w:color="auto" w:fill="auto"/>
          </w:tcPr>
          <w:p w14:paraId="5E19C98D" w14:textId="4F5699B0" w:rsidR="00455D37" w:rsidRPr="00614F84" w:rsidRDefault="00455D37" w:rsidP="00D36B35">
            <w:pPr>
              <w:jc w:val="center"/>
              <w:rPr>
                <w:rFonts w:ascii="Cambria" w:eastAsia="Times New Roman" w:hAnsi="Cambria" w:cs="Times New Roman"/>
                <w:color w:val="000000"/>
                <w:sz w:val="20"/>
                <w:szCs w:val="20"/>
              </w:rPr>
            </w:pPr>
            <w:r w:rsidRPr="00C37DD9">
              <w:t>06-D00-001</w:t>
            </w:r>
          </w:p>
        </w:tc>
        <w:tc>
          <w:tcPr>
            <w:tcW w:w="178" w:type="pct"/>
            <w:shd w:val="clear" w:color="auto" w:fill="auto"/>
          </w:tcPr>
          <w:p w14:paraId="1E560229" w14:textId="4852D944" w:rsidR="00455D37" w:rsidRPr="00614F84" w:rsidRDefault="00455D37" w:rsidP="00F359AA">
            <w:pPr>
              <w:jc w:val="center"/>
              <w:rPr>
                <w:rFonts w:ascii="Cambria" w:eastAsia="Times New Roman" w:hAnsi="Cambria" w:cs="Times New Roman"/>
                <w:color w:val="000000"/>
              </w:rPr>
            </w:pPr>
            <w:proofErr w:type="spellStart"/>
            <w:r w:rsidRPr="00C37DD9">
              <w:t>Carbimazole</w:t>
            </w:r>
            <w:proofErr w:type="spellEnd"/>
            <w:r w:rsidRPr="00C37DD9">
              <w:t xml:space="preserve"> 5mg Tablet</w:t>
            </w:r>
          </w:p>
        </w:tc>
        <w:tc>
          <w:tcPr>
            <w:tcW w:w="262" w:type="pct"/>
            <w:shd w:val="clear" w:color="auto" w:fill="auto"/>
            <w:vAlign w:val="center"/>
          </w:tcPr>
          <w:p w14:paraId="649DB3DC" w14:textId="77777777" w:rsidR="00455D37" w:rsidRPr="00F04CA9" w:rsidRDefault="00455D37" w:rsidP="00073752">
            <w:pPr>
              <w:spacing w:after="0" w:line="240" w:lineRule="auto"/>
              <w:rPr>
                <w:rFonts w:eastAsia="Times New Roman" w:cs="Calibri"/>
                <w:color w:val="000000"/>
              </w:rPr>
            </w:pPr>
          </w:p>
        </w:tc>
        <w:tc>
          <w:tcPr>
            <w:tcW w:w="134" w:type="pct"/>
            <w:shd w:val="clear" w:color="auto" w:fill="auto"/>
            <w:vAlign w:val="center"/>
          </w:tcPr>
          <w:p w14:paraId="1109FE61" w14:textId="77777777" w:rsidR="00455D37" w:rsidRDefault="00455D37" w:rsidP="00073752">
            <w:pPr>
              <w:rPr>
                <w:rFonts w:cs="Calibri"/>
                <w:color w:val="000000"/>
              </w:rPr>
            </w:pPr>
          </w:p>
        </w:tc>
        <w:tc>
          <w:tcPr>
            <w:tcW w:w="106" w:type="pct"/>
            <w:shd w:val="clear" w:color="auto" w:fill="auto"/>
            <w:vAlign w:val="bottom"/>
          </w:tcPr>
          <w:p w14:paraId="47708197" w14:textId="77777777" w:rsidR="00455D37" w:rsidRDefault="00455D37" w:rsidP="00073752">
            <w:pPr>
              <w:rPr>
                <w:rFonts w:cs="Calibri"/>
                <w:color w:val="000000"/>
                <w:sz w:val="16"/>
                <w:szCs w:val="16"/>
              </w:rPr>
            </w:pPr>
          </w:p>
        </w:tc>
        <w:tc>
          <w:tcPr>
            <w:tcW w:w="245" w:type="pct"/>
            <w:shd w:val="clear" w:color="auto" w:fill="auto"/>
            <w:vAlign w:val="bottom"/>
          </w:tcPr>
          <w:p w14:paraId="42285A18" w14:textId="77777777" w:rsidR="00455D37" w:rsidRDefault="00455D37" w:rsidP="00073752">
            <w:pPr>
              <w:rPr>
                <w:rFonts w:cs="Calibri"/>
                <w:color w:val="000000"/>
                <w:sz w:val="16"/>
                <w:szCs w:val="16"/>
              </w:rPr>
            </w:pPr>
          </w:p>
        </w:tc>
        <w:tc>
          <w:tcPr>
            <w:tcW w:w="230" w:type="pct"/>
            <w:shd w:val="clear" w:color="auto" w:fill="auto"/>
            <w:vAlign w:val="bottom"/>
          </w:tcPr>
          <w:p w14:paraId="21151533" w14:textId="77777777" w:rsidR="00455D37" w:rsidRDefault="00455D37" w:rsidP="00073752">
            <w:pPr>
              <w:rPr>
                <w:rFonts w:cs="Calibri"/>
                <w:color w:val="000000"/>
                <w:sz w:val="16"/>
                <w:szCs w:val="16"/>
              </w:rPr>
            </w:pPr>
          </w:p>
        </w:tc>
        <w:tc>
          <w:tcPr>
            <w:tcW w:w="199" w:type="pct"/>
            <w:shd w:val="clear" w:color="auto" w:fill="auto"/>
            <w:vAlign w:val="bottom"/>
          </w:tcPr>
          <w:p w14:paraId="40DB0E22" w14:textId="77777777" w:rsidR="00455D37" w:rsidRDefault="00455D37" w:rsidP="00073752">
            <w:pPr>
              <w:rPr>
                <w:rFonts w:cs="Calibri"/>
                <w:color w:val="000000"/>
                <w:sz w:val="16"/>
                <w:szCs w:val="16"/>
              </w:rPr>
            </w:pPr>
          </w:p>
        </w:tc>
        <w:tc>
          <w:tcPr>
            <w:tcW w:w="203" w:type="pct"/>
            <w:shd w:val="clear" w:color="auto" w:fill="auto"/>
            <w:vAlign w:val="center"/>
          </w:tcPr>
          <w:p w14:paraId="2EBA0891"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1E770D4"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6E039CD"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3163D92" w14:textId="77777777" w:rsidR="00455D37" w:rsidRPr="00233B59"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7744EA8B"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9E6D4E7"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78265E1"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8B38EA"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8132A1E"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43BB30"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B70C9DF" w14:textId="77777777" w:rsidR="00455D37"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40FD5B02"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2994440"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CDC3400"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C3BB4C"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5D37" w:rsidRPr="00233B59" w14:paraId="3D8C3099" w14:textId="77777777" w:rsidTr="0062668C">
        <w:tc>
          <w:tcPr>
            <w:tcW w:w="133" w:type="pct"/>
            <w:shd w:val="clear" w:color="auto" w:fill="auto"/>
          </w:tcPr>
          <w:p w14:paraId="50AF250C" w14:textId="67931B5A" w:rsidR="00455D37" w:rsidRPr="00D14D22"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3</w:t>
            </w:r>
          </w:p>
        </w:tc>
        <w:tc>
          <w:tcPr>
            <w:tcW w:w="210" w:type="pct"/>
            <w:shd w:val="clear" w:color="auto" w:fill="auto"/>
            <w:vAlign w:val="center"/>
          </w:tcPr>
          <w:p w14:paraId="6A2D1E3D"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FEE050A" w14:textId="77777777" w:rsidR="00455D37" w:rsidRPr="00C6441A" w:rsidRDefault="00455D37" w:rsidP="00073752"/>
        </w:tc>
        <w:tc>
          <w:tcPr>
            <w:tcW w:w="184" w:type="pct"/>
            <w:shd w:val="clear" w:color="auto" w:fill="auto"/>
          </w:tcPr>
          <w:p w14:paraId="49444CA4" w14:textId="2D65E7DC" w:rsidR="00455D37" w:rsidRPr="00614F84" w:rsidRDefault="00455D37" w:rsidP="00D36B35">
            <w:pPr>
              <w:jc w:val="center"/>
              <w:rPr>
                <w:rFonts w:ascii="Cambria" w:eastAsia="Times New Roman" w:hAnsi="Cambria" w:cs="Times New Roman"/>
                <w:color w:val="000000"/>
                <w:sz w:val="20"/>
                <w:szCs w:val="20"/>
              </w:rPr>
            </w:pPr>
            <w:r w:rsidRPr="00C37DD9">
              <w:t>12-B00-002</w:t>
            </w:r>
          </w:p>
        </w:tc>
        <w:tc>
          <w:tcPr>
            <w:tcW w:w="178" w:type="pct"/>
            <w:shd w:val="clear" w:color="auto" w:fill="auto"/>
          </w:tcPr>
          <w:p w14:paraId="5C3CFAA8" w14:textId="397CBAD0" w:rsidR="00455D37" w:rsidRPr="00614F84" w:rsidRDefault="00455D37" w:rsidP="00F359AA">
            <w:pPr>
              <w:jc w:val="center"/>
              <w:rPr>
                <w:rFonts w:ascii="Cambria" w:eastAsia="Times New Roman" w:hAnsi="Cambria" w:cs="Times New Roman"/>
                <w:color w:val="000000"/>
              </w:rPr>
            </w:pPr>
            <w:proofErr w:type="spellStart"/>
            <w:r w:rsidRPr="00C37DD9">
              <w:t>Beclomethasone</w:t>
            </w:r>
            <w:proofErr w:type="spellEnd"/>
            <w:r w:rsidRPr="00C37DD9">
              <w:t xml:space="preserve"> </w:t>
            </w:r>
            <w:proofErr w:type="spellStart"/>
            <w:r w:rsidRPr="00C37DD9">
              <w:t>dipropionate</w:t>
            </w:r>
            <w:proofErr w:type="spellEnd"/>
            <w:r w:rsidRPr="00C37DD9">
              <w:t xml:space="preserve"> 50mcg/ metered inhalation (Aerosol Inhalation) Nasal Spray</w:t>
            </w:r>
          </w:p>
        </w:tc>
        <w:tc>
          <w:tcPr>
            <w:tcW w:w="262" w:type="pct"/>
            <w:shd w:val="clear" w:color="auto" w:fill="auto"/>
            <w:vAlign w:val="center"/>
          </w:tcPr>
          <w:p w14:paraId="2A68D906" w14:textId="77777777" w:rsidR="00455D37" w:rsidRPr="00F04CA9" w:rsidRDefault="00455D37" w:rsidP="00073752">
            <w:pPr>
              <w:spacing w:after="0" w:line="240" w:lineRule="auto"/>
              <w:rPr>
                <w:rFonts w:eastAsia="Times New Roman" w:cs="Calibri"/>
                <w:color w:val="000000"/>
              </w:rPr>
            </w:pPr>
          </w:p>
        </w:tc>
        <w:tc>
          <w:tcPr>
            <w:tcW w:w="134" w:type="pct"/>
            <w:shd w:val="clear" w:color="auto" w:fill="auto"/>
            <w:vAlign w:val="center"/>
          </w:tcPr>
          <w:p w14:paraId="135A746E" w14:textId="77777777" w:rsidR="00455D37" w:rsidRDefault="00455D37" w:rsidP="00073752">
            <w:pPr>
              <w:rPr>
                <w:rFonts w:cs="Calibri"/>
                <w:color w:val="000000"/>
              </w:rPr>
            </w:pPr>
          </w:p>
        </w:tc>
        <w:tc>
          <w:tcPr>
            <w:tcW w:w="106" w:type="pct"/>
            <w:shd w:val="clear" w:color="auto" w:fill="auto"/>
            <w:vAlign w:val="bottom"/>
          </w:tcPr>
          <w:p w14:paraId="10314AC0" w14:textId="77777777" w:rsidR="00455D37" w:rsidRDefault="00455D37" w:rsidP="00073752">
            <w:pPr>
              <w:rPr>
                <w:rFonts w:cs="Calibri"/>
                <w:color w:val="000000"/>
                <w:sz w:val="16"/>
                <w:szCs w:val="16"/>
              </w:rPr>
            </w:pPr>
          </w:p>
        </w:tc>
        <w:tc>
          <w:tcPr>
            <w:tcW w:w="245" w:type="pct"/>
            <w:shd w:val="clear" w:color="auto" w:fill="auto"/>
            <w:vAlign w:val="bottom"/>
          </w:tcPr>
          <w:p w14:paraId="4E0D505C" w14:textId="77777777" w:rsidR="00455D37" w:rsidRDefault="00455D37" w:rsidP="00073752">
            <w:pPr>
              <w:rPr>
                <w:rFonts w:cs="Calibri"/>
                <w:color w:val="000000"/>
                <w:sz w:val="16"/>
                <w:szCs w:val="16"/>
              </w:rPr>
            </w:pPr>
          </w:p>
        </w:tc>
        <w:tc>
          <w:tcPr>
            <w:tcW w:w="230" w:type="pct"/>
            <w:shd w:val="clear" w:color="auto" w:fill="auto"/>
            <w:vAlign w:val="bottom"/>
          </w:tcPr>
          <w:p w14:paraId="6FD0C47E" w14:textId="77777777" w:rsidR="00455D37" w:rsidRDefault="00455D37" w:rsidP="00073752">
            <w:pPr>
              <w:rPr>
                <w:rFonts w:cs="Calibri"/>
                <w:color w:val="000000"/>
                <w:sz w:val="16"/>
                <w:szCs w:val="16"/>
              </w:rPr>
            </w:pPr>
          </w:p>
        </w:tc>
        <w:tc>
          <w:tcPr>
            <w:tcW w:w="199" w:type="pct"/>
            <w:shd w:val="clear" w:color="auto" w:fill="auto"/>
            <w:vAlign w:val="bottom"/>
          </w:tcPr>
          <w:p w14:paraId="370F0545" w14:textId="77777777" w:rsidR="00455D37" w:rsidRDefault="00455D37" w:rsidP="00073752">
            <w:pPr>
              <w:rPr>
                <w:rFonts w:cs="Calibri"/>
                <w:color w:val="000000"/>
                <w:sz w:val="16"/>
                <w:szCs w:val="16"/>
              </w:rPr>
            </w:pPr>
          </w:p>
        </w:tc>
        <w:tc>
          <w:tcPr>
            <w:tcW w:w="203" w:type="pct"/>
            <w:shd w:val="clear" w:color="auto" w:fill="auto"/>
            <w:vAlign w:val="center"/>
          </w:tcPr>
          <w:p w14:paraId="5649E655"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C16228B"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8381C45"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A13A97" w14:textId="77777777" w:rsidR="00455D37" w:rsidRPr="00233B59"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43517D2F"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83C551C"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99CF44"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B1311C"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8B5A4A3"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B79D429"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BCD1128" w14:textId="77777777" w:rsidR="00455D37"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35180F09"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705AE7F"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004435C"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E98F8C4"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5D37" w:rsidRPr="00233B59" w14:paraId="1FD5D4A4" w14:textId="77777777" w:rsidTr="0062668C">
        <w:tc>
          <w:tcPr>
            <w:tcW w:w="133" w:type="pct"/>
            <w:shd w:val="clear" w:color="auto" w:fill="auto"/>
          </w:tcPr>
          <w:p w14:paraId="1D201A05" w14:textId="118D3592" w:rsidR="00455D37" w:rsidRPr="00D14D22"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4</w:t>
            </w:r>
          </w:p>
        </w:tc>
        <w:tc>
          <w:tcPr>
            <w:tcW w:w="210" w:type="pct"/>
            <w:shd w:val="clear" w:color="auto" w:fill="auto"/>
            <w:vAlign w:val="center"/>
          </w:tcPr>
          <w:p w14:paraId="7392E91C"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605D952" w14:textId="77777777" w:rsidR="00455D37" w:rsidRPr="00C6441A" w:rsidRDefault="00455D37" w:rsidP="00073752"/>
        </w:tc>
        <w:tc>
          <w:tcPr>
            <w:tcW w:w="184" w:type="pct"/>
            <w:shd w:val="clear" w:color="auto" w:fill="auto"/>
          </w:tcPr>
          <w:p w14:paraId="096F0C43" w14:textId="011799E1" w:rsidR="00455D37" w:rsidRPr="00614F84" w:rsidRDefault="00455D37" w:rsidP="00D36B35">
            <w:pPr>
              <w:jc w:val="center"/>
              <w:rPr>
                <w:rFonts w:ascii="Cambria" w:eastAsia="Times New Roman" w:hAnsi="Cambria" w:cs="Times New Roman"/>
                <w:color w:val="000000"/>
                <w:sz w:val="20"/>
                <w:szCs w:val="20"/>
              </w:rPr>
            </w:pPr>
            <w:r w:rsidRPr="00C37DD9">
              <w:t>14-AD0-032</w:t>
            </w:r>
          </w:p>
        </w:tc>
        <w:tc>
          <w:tcPr>
            <w:tcW w:w="178" w:type="pct"/>
            <w:shd w:val="clear" w:color="auto" w:fill="auto"/>
          </w:tcPr>
          <w:p w14:paraId="04362848" w14:textId="0176F7D4" w:rsidR="00455D37" w:rsidRPr="00614F84" w:rsidRDefault="00455D37" w:rsidP="00F359AA">
            <w:pPr>
              <w:jc w:val="center"/>
              <w:rPr>
                <w:rFonts w:ascii="Cambria" w:eastAsia="Times New Roman" w:hAnsi="Cambria" w:cs="Times New Roman"/>
                <w:color w:val="000000"/>
              </w:rPr>
            </w:pPr>
            <w:proofErr w:type="spellStart"/>
            <w:r w:rsidRPr="00C37DD9">
              <w:t>Remifentanil</w:t>
            </w:r>
            <w:proofErr w:type="spellEnd"/>
            <w:r w:rsidRPr="00C37DD9">
              <w:t xml:space="preserve"> (as Hydrochloride )2mg/ vial </w:t>
            </w:r>
            <w:proofErr w:type="spellStart"/>
            <w:r w:rsidRPr="00C37DD9">
              <w:t>IV.injection</w:t>
            </w:r>
            <w:proofErr w:type="spellEnd"/>
            <w:r w:rsidRPr="00C37DD9">
              <w:t xml:space="preserve"> </w:t>
            </w:r>
          </w:p>
        </w:tc>
        <w:tc>
          <w:tcPr>
            <w:tcW w:w="262" w:type="pct"/>
            <w:shd w:val="clear" w:color="auto" w:fill="auto"/>
            <w:vAlign w:val="center"/>
          </w:tcPr>
          <w:p w14:paraId="2CB3FFA4" w14:textId="77777777" w:rsidR="00455D37" w:rsidRPr="00F04CA9" w:rsidRDefault="00455D37" w:rsidP="00073752">
            <w:pPr>
              <w:spacing w:after="0" w:line="240" w:lineRule="auto"/>
              <w:rPr>
                <w:rFonts w:eastAsia="Times New Roman" w:cs="Calibri"/>
                <w:color w:val="000000"/>
              </w:rPr>
            </w:pPr>
          </w:p>
        </w:tc>
        <w:tc>
          <w:tcPr>
            <w:tcW w:w="134" w:type="pct"/>
            <w:shd w:val="clear" w:color="auto" w:fill="auto"/>
            <w:vAlign w:val="center"/>
          </w:tcPr>
          <w:p w14:paraId="1062F3DF" w14:textId="77777777" w:rsidR="00455D37" w:rsidRDefault="00455D37" w:rsidP="00073752">
            <w:pPr>
              <w:rPr>
                <w:rFonts w:cs="Calibri"/>
                <w:color w:val="000000"/>
              </w:rPr>
            </w:pPr>
          </w:p>
        </w:tc>
        <w:tc>
          <w:tcPr>
            <w:tcW w:w="106" w:type="pct"/>
            <w:shd w:val="clear" w:color="auto" w:fill="auto"/>
            <w:vAlign w:val="bottom"/>
          </w:tcPr>
          <w:p w14:paraId="3F327BD1" w14:textId="77777777" w:rsidR="00455D37" w:rsidRDefault="00455D37" w:rsidP="00073752">
            <w:pPr>
              <w:rPr>
                <w:rFonts w:cs="Calibri"/>
                <w:color w:val="000000"/>
                <w:sz w:val="16"/>
                <w:szCs w:val="16"/>
              </w:rPr>
            </w:pPr>
          </w:p>
        </w:tc>
        <w:tc>
          <w:tcPr>
            <w:tcW w:w="245" w:type="pct"/>
            <w:shd w:val="clear" w:color="auto" w:fill="auto"/>
            <w:vAlign w:val="bottom"/>
          </w:tcPr>
          <w:p w14:paraId="0EC4D78C" w14:textId="77777777" w:rsidR="00455D37" w:rsidRDefault="00455D37" w:rsidP="00073752">
            <w:pPr>
              <w:rPr>
                <w:rFonts w:cs="Calibri"/>
                <w:color w:val="000000"/>
                <w:sz w:val="16"/>
                <w:szCs w:val="16"/>
              </w:rPr>
            </w:pPr>
          </w:p>
        </w:tc>
        <w:tc>
          <w:tcPr>
            <w:tcW w:w="230" w:type="pct"/>
            <w:shd w:val="clear" w:color="auto" w:fill="auto"/>
            <w:vAlign w:val="bottom"/>
          </w:tcPr>
          <w:p w14:paraId="308DC870" w14:textId="77777777" w:rsidR="00455D37" w:rsidRDefault="00455D37" w:rsidP="00073752">
            <w:pPr>
              <w:rPr>
                <w:rFonts w:cs="Calibri"/>
                <w:color w:val="000000"/>
                <w:sz w:val="16"/>
                <w:szCs w:val="16"/>
              </w:rPr>
            </w:pPr>
          </w:p>
        </w:tc>
        <w:tc>
          <w:tcPr>
            <w:tcW w:w="199" w:type="pct"/>
            <w:shd w:val="clear" w:color="auto" w:fill="auto"/>
            <w:vAlign w:val="bottom"/>
          </w:tcPr>
          <w:p w14:paraId="4A4F3B77" w14:textId="77777777" w:rsidR="00455D37" w:rsidRDefault="00455D37" w:rsidP="00073752">
            <w:pPr>
              <w:rPr>
                <w:rFonts w:cs="Calibri"/>
                <w:color w:val="000000"/>
                <w:sz w:val="16"/>
                <w:szCs w:val="16"/>
              </w:rPr>
            </w:pPr>
          </w:p>
        </w:tc>
        <w:tc>
          <w:tcPr>
            <w:tcW w:w="203" w:type="pct"/>
            <w:shd w:val="clear" w:color="auto" w:fill="auto"/>
            <w:vAlign w:val="center"/>
          </w:tcPr>
          <w:p w14:paraId="5CA928B5"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08B97D8"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64D2F7B"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A235EBF" w14:textId="77777777" w:rsidR="00455D37" w:rsidRPr="00233B59"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79F68FCA"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2F72063"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DA22DEF"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C91DF7"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B8F6C0B"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8309746"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B281187" w14:textId="77777777" w:rsidR="00455D37"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6B352B40"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1C933D4"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ED63657"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AEF77DB"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5D37" w:rsidRPr="00233B59" w14:paraId="225E3D45" w14:textId="77777777" w:rsidTr="0062668C">
        <w:tc>
          <w:tcPr>
            <w:tcW w:w="133" w:type="pct"/>
            <w:shd w:val="clear" w:color="auto" w:fill="auto"/>
          </w:tcPr>
          <w:p w14:paraId="3680A808" w14:textId="714CEEC3" w:rsidR="00455D37" w:rsidRPr="00D14D22"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5</w:t>
            </w:r>
          </w:p>
        </w:tc>
        <w:tc>
          <w:tcPr>
            <w:tcW w:w="210" w:type="pct"/>
            <w:shd w:val="clear" w:color="auto" w:fill="auto"/>
            <w:vAlign w:val="center"/>
          </w:tcPr>
          <w:p w14:paraId="00BB0BAF"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2BBE4B6" w14:textId="77777777" w:rsidR="00455D37" w:rsidRPr="00C6441A" w:rsidRDefault="00455D37" w:rsidP="00073752"/>
        </w:tc>
        <w:tc>
          <w:tcPr>
            <w:tcW w:w="184" w:type="pct"/>
            <w:shd w:val="clear" w:color="auto" w:fill="auto"/>
          </w:tcPr>
          <w:p w14:paraId="1D41CD12" w14:textId="4C0E1E23" w:rsidR="00455D37" w:rsidRPr="00614F84" w:rsidRDefault="00455D37" w:rsidP="00D36B35">
            <w:pPr>
              <w:jc w:val="center"/>
              <w:rPr>
                <w:rFonts w:ascii="Cambria" w:eastAsia="Times New Roman" w:hAnsi="Cambria" w:cs="Times New Roman"/>
                <w:color w:val="000000"/>
                <w:sz w:val="20"/>
                <w:szCs w:val="20"/>
              </w:rPr>
            </w:pPr>
            <w:r w:rsidRPr="00C37DD9">
              <w:t>17-000-017</w:t>
            </w:r>
          </w:p>
        </w:tc>
        <w:tc>
          <w:tcPr>
            <w:tcW w:w="178" w:type="pct"/>
            <w:shd w:val="clear" w:color="auto" w:fill="auto"/>
          </w:tcPr>
          <w:p w14:paraId="0064FE4D" w14:textId="54A70ACD" w:rsidR="00455D37" w:rsidRPr="00614F84" w:rsidRDefault="00455D37" w:rsidP="00F359AA">
            <w:pPr>
              <w:jc w:val="center"/>
              <w:rPr>
                <w:rFonts w:ascii="Cambria" w:eastAsia="Times New Roman" w:hAnsi="Cambria" w:cs="Times New Roman"/>
                <w:color w:val="000000"/>
              </w:rPr>
            </w:pPr>
            <w:r w:rsidRPr="00C37DD9">
              <w:t xml:space="preserve">Digoxin specific antibody </w:t>
            </w:r>
            <w:proofErr w:type="spellStart"/>
            <w:r w:rsidRPr="00C37DD9">
              <w:t>Fargments</w:t>
            </w:r>
            <w:proofErr w:type="spellEnd"/>
            <w:r w:rsidRPr="00C37DD9">
              <w:t xml:space="preserve"> (FAB) 40mg Vial </w:t>
            </w:r>
            <w:r w:rsidRPr="00C37DD9">
              <w:rPr>
                <w:rtl/>
              </w:rPr>
              <w:t xml:space="preserve">يتم تثبيت الاحتياج من قبل وحدات المناطرة الدوائية التابعة </w:t>
            </w:r>
            <w:r w:rsidRPr="00C37DD9">
              <w:rPr>
                <w:rtl/>
              </w:rPr>
              <w:lastRenderedPageBreak/>
              <w:t>لشعبة الصيدلة السريرية في م.بغداد التعليمي اضافة الى مركز استعلامات السموم + ذي قار</w:t>
            </w:r>
          </w:p>
        </w:tc>
        <w:tc>
          <w:tcPr>
            <w:tcW w:w="262" w:type="pct"/>
            <w:shd w:val="clear" w:color="auto" w:fill="auto"/>
            <w:vAlign w:val="center"/>
          </w:tcPr>
          <w:p w14:paraId="3D7C8822" w14:textId="77777777" w:rsidR="00455D37" w:rsidRPr="00F04CA9" w:rsidRDefault="00455D37" w:rsidP="00073752">
            <w:pPr>
              <w:spacing w:after="0" w:line="240" w:lineRule="auto"/>
              <w:rPr>
                <w:rFonts w:eastAsia="Times New Roman" w:cs="Calibri"/>
                <w:color w:val="000000"/>
              </w:rPr>
            </w:pPr>
          </w:p>
        </w:tc>
        <w:tc>
          <w:tcPr>
            <w:tcW w:w="134" w:type="pct"/>
            <w:shd w:val="clear" w:color="auto" w:fill="auto"/>
            <w:vAlign w:val="center"/>
          </w:tcPr>
          <w:p w14:paraId="6D7F4C5E" w14:textId="77777777" w:rsidR="00455D37" w:rsidRDefault="00455D37" w:rsidP="00073752">
            <w:pPr>
              <w:rPr>
                <w:rFonts w:cs="Calibri"/>
                <w:color w:val="000000"/>
              </w:rPr>
            </w:pPr>
          </w:p>
        </w:tc>
        <w:tc>
          <w:tcPr>
            <w:tcW w:w="106" w:type="pct"/>
            <w:shd w:val="clear" w:color="auto" w:fill="auto"/>
            <w:vAlign w:val="bottom"/>
          </w:tcPr>
          <w:p w14:paraId="47A191AF" w14:textId="77777777" w:rsidR="00455D37" w:rsidRDefault="00455D37" w:rsidP="00073752">
            <w:pPr>
              <w:rPr>
                <w:rFonts w:cs="Calibri"/>
                <w:color w:val="000000"/>
                <w:sz w:val="16"/>
                <w:szCs w:val="16"/>
              </w:rPr>
            </w:pPr>
          </w:p>
        </w:tc>
        <w:tc>
          <w:tcPr>
            <w:tcW w:w="245" w:type="pct"/>
            <w:shd w:val="clear" w:color="auto" w:fill="auto"/>
            <w:vAlign w:val="bottom"/>
          </w:tcPr>
          <w:p w14:paraId="1C5EB0D5" w14:textId="77777777" w:rsidR="00455D37" w:rsidRDefault="00455D37" w:rsidP="00073752">
            <w:pPr>
              <w:rPr>
                <w:rFonts w:cs="Calibri"/>
                <w:color w:val="000000"/>
                <w:sz w:val="16"/>
                <w:szCs w:val="16"/>
              </w:rPr>
            </w:pPr>
          </w:p>
        </w:tc>
        <w:tc>
          <w:tcPr>
            <w:tcW w:w="230" w:type="pct"/>
            <w:shd w:val="clear" w:color="auto" w:fill="auto"/>
            <w:vAlign w:val="bottom"/>
          </w:tcPr>
          <w:p w14:paraId="77B28F14" w14:textId="77777777" w:rsidR="00455D37" w:rsidRDefault="00455D37" w:rsidP="00073752">
            <w:pPr>
              <w:rPr>
                <w:rFonts w:cs="Calibri"/>
                <w:color w:val="000000"/>
                <w:sz w:val="16"/>
                <w:szCs w:val="16"/>
              </w:rPr>
            </w:pPr>
          </w:p>
        </w:tc>
        <w:tc>
          <w:tcPr>
            <w:tcW w:w="199" w:type="pct"/>
            <w:shd w:val="clear" w:color="auto" w:fill="auto"/>
            <w:vAlign w:val="bottom"/>
          </w:tcPr>
          <w:p w14:paraId="1827D8D8" w14:textId="77777777" w:rsidR="00455D37" w:rsidRDefault="00455D37" w:rsidP="00073752">
            <w:pPr>
              <w:rPr>
                <w:rFonts w:cs="Calibri"/>
                <w:color w:val="000000"/>
                <w:sz w:val="16"/>
                <w:szCs w:val="16"/>
              </w:rPr>
            </w:pPr>
          </w:p>
        </w:tc>
        <w:tc>
          <w:tcPr>
            <w:tcW w:w="203" w:type="pct"/>
            <w:shd w:val="clear" w:color="auto" w:fill="auto"/>
            <w:vAlign w:val="center"/>
          </w:tcPr>
          <w:p w14:paraId="4BB6A392"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8ADEE5B"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39DFC7E"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EEC22AC" w14:textId="77777777" w:rsidR="00455D37" w:rsidRPr="00233B59"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23FB0377"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FC0C40B"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12DD5B4"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6C3008"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F7B9459"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F6F453"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707CD65" w14:textId="77777777" w:rsidR="00455D37"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015F9335"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A9F00F1"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0F3E93B"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8474CE8"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5D37" w:rsidRPr="00233B59" w14:paraId="1F605BE5" w14:textId="77777777" w:rsidTr="0062668C">
        <w:tc>
          <w:tcPr>
            <w:tcW w:w="133" w:type="pct"/>
            <w:shd w:val="clear" w:color="auto" w:fill="auto"/>
          </w:tcPr>
          <w:p w14:paraId="40F56C71" w14:textId="2F70AF0B" w:rsidR="00455D37" w:rsidRPr="00D14D22"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lastRenderedPageBreak/>
              <w:t>6</w:t>
            </w:r>
          </w:p>
        </w:tc>
        <w:tc>
          <w:tcPr>
            <w:tcW w:w="210" w:type="pct"/>
            <w:shd w:val="clear" w:color="auto" w:fill="auto"/>
            <w:vAlign w:val="center"/>
          </w:tcPr>
          <w:p w14:paraId="224DF0E3"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31EF308" w14:textId="77777777" w:rsidR="00455D37" w:rsidRPr="00C6441A" w:rsidRDefault="00455D37" w:rsidP="00073752"/>
        </w:tc>
        <w:tc>
          <w:tcPr>
            <w:tcW w:w="184" w:type="pct"/>
            <w:shd w:val="clear" w:color="auto" w:fill="auto"/>
          </w:tcPr>
          <w:p w14:paraId="755E4714" w14:textId="27564326" w:rsidR="00455D37" w:rsidRPr="00614F84" w:rsidRDefault="00455D37" w:rsidP="00D36B35">
            <w:pPr>
              <w:jc w:val="center"/>
              <w:rPr>
                <w:rFonts w:ascii="Cambria" w:eastAsia="Times New Roman" w:hAnsi="Cambria" w:cs="Times New Roman"/>
                <w:color w:val="000000"/>
                <w:sz w:val="20"/>
                <w:szCs w:val="20"/>
              </w:rPr>
            </w:pPr>
            <w:r w:rsidRPr="00C37DD9">
              <w:t>17-000-028</w:t>
            </w:r>
          </w:p>
        </w:tc>
        <w:tc>
          <w:tcPr>
            <w:tcW w:w="178" w:type="pct"/>
            <w:shd w:val="clear" w:color="auto" w:fill="auto"/>
          </w:tcPr>
          <w:p w14:paraId="3CD9CDEA" w14:textId="335AD921" w:rsidR="00455D37" w:rsidRPr="00614F84" w:rsidRDefault="00455D37" w:rsidP="00F359AA">
            <w:pPr>
              <w:jc w:val="center"/>
              <w:rPr>
                <w:rFonts w:ascii="Cambria" w:eastAsia="Times New Roman" w:hAnsi="Cambria" w:cs="Times New Roman"/>
                <w:color w:val="000000"/>
              </w:rPr>
            </w:pPr>
            <w:r w:rsidRPr="00C37DD9">
              <w:t xml:space="preserve">Naloxone hydrochloride 400mcg/ml (1ml) Ampoule or </w:t>
            </w:r>
            <w:proofErr w:type="spellStart"/>
            <w:r w:rsidRPr="00C37DD9">
              <w:t>Pfs</w:t>
            </w:r>
            <w:proofErr w:type="spellEnd"/>
            <w:r w:rsidRPr="00C37DD9">
              <w:t xml:space="preserve"> or vial </w:t>
            </w:r>
            <w:r w:rsidRPr="00C37DD9">
              <w:rPr>
                <w:rtl/>
              </w:rPr>
              <w:t>مع الاخذ بنظر الاعتبار استخدامه ضمن قائمة التخدير و قائمة السموم</w:t>
            </w:r>
          </w:p>
        </w:tc>
        <w:tc>
          <w:tcPr>
            <w:tcW w:w="262" w:type="pct"/>
            <w:shd w:val="clear" w:color="auto" w:fill="auto"/>
            <w:vAlign w:val="center"/>
          </w:tcPr>
          <w:p w14:paraId="0ABD6965" w14:textId="77777777" w:rsidR="00455D37" w:rsidRPr="00F04CA9" w:rsidRDefault="00455D37" w:rsidP="00073752">
            <w:pPr>
              <w:spacing w:after="0" w:line="240" w:lineRule="auto"/>
              <w:rPr>
                <w:rFonts w:eastAsia="Times New Roman" w:cs="Calibri"/>
                <w:color w:val="000000"/>
              </w:rPr>
            </w:pPr>
          </w:p>
        </w:tc>
        <w:tc>
          <w:tcPr>
            <w:tcW w:w="134" w:type="pct"/>
            <w:shd w:val="clear" w:color="auto" w:fill="auto"/>
            <w:vAlign w:val="center"/>
          </w:tcPr>
          <w:p w14:paraId="1F8103F0" w14:textId="77777777" w:rsidR="00455D37" w:rsidRDefault="00455D37" w:rsidP="00073752">
            <w:pPr>
              <w:rPr>
                <w:rFonts w:cs="Calibri"/>
                <w:color w:val="000000"/>
              </w:rPr>
            </w:pPr>
          </w:p>
        </w:tc>
        <w:tc>
          <w:tcPr>
            <w:tcW w:w="106" w:type="pct"/>
            <w:shd w:val="clear" w:color="auto" w:fill="auto"/>
            <w:vAlign w:val="bottom"/>
          </w:tcPr>
          <w:p w14:paraId="3380C32A" w14:textId="77777777" w:rsidR="00455D37" w:rsidRDefault="00455D37" w:rsidP="00073752">
            <w:pPr>
              <w:rPr>
                <w:rFonts w:cs="Calibri"/>
                <w:color w:val="000000"/>
                <w:sz w:val="16"/>
                <w:szCs w:val="16"/>
              </w:rPr>
            </w:pPr>
          </w:p>
        </w:tc>
        <w:tc>
          <w:tcPr>
            <w:tcW w:w="245" w:type="pct"/>
            <w:shd w:val="clear" w:color="auto" w:fill="auto"/>
            <w:vAlign w:val="bottom"/>
          </w:tcPr>
          <w:p w14:paraId="6DCBE5D7" w14:textId="77777777" w:rsidR="00455D37" w:rsidRDefault="00455D37" w:rsidP="00073752">
            <w:pPr>
              <w:rPr>
                <w:rFonts w:cs="Calibri"/>
                <w:color w:val="000000"/>
                <w:sz w:val="16"/>
                <w:szCs w:val="16"/>
              </w:rPr>
            </w:pPr>
          </w:p>
        </w:tc>
        <w:tc>
          <w:tcPr>
            <w:tcW w:w="230" w:type="pct"/>
            <w:shd w:val="clear" w:color="auto" w:fill="auto"/>
            <w:vAlign w:val="bottom"/>
          </w:tcPr>
          <w:p w14:paraId="423D632A" w14:textId="77777777" w:rsidR="00455D37" w:rsidRDefault="00455D37" w:rsidP="00073752">
            <w:pPr>
              <w:rPr>
                <w:rFonts w:cs="Calibri"/>
                <w:color w:val="000000"/>
                <w:sz w:val="16"/>
                <w:szCs w:val="16"/>
              </w:rPr>
            </w:pPr>
          </w:p>
        </w:tc>
        <w:tc>
          <w:tcPr>
            <w:tcW w:w="199" w:type="pct"/>
            <w:shd w:val="clear" w:color="auto" w:fill="auto"/>
            <w:vAlign w:val="bottom"/>
          </w:tcPr>
          <w:p w14:paraId="4812180D" w14:textId="77777777" w:rsidR="00455D37" w:rsidRDefault="00455D37" w:rsidP="00073752">
            <w:pPr>
              <w:rPr>
                <w:rFonts w:cs="Calibri"/>
                <w:color w:val="000000"/>
                <w:sz w:val="16"/>
                <w:szCs w:val="16"/>
              </w:rPr>
            </w:pPr>
          </w:p>
        </w:tc>
        <w:tc>
          <w:tcPr>
            <w:tcW w:w="203" w:type="pct"/>
            <w:shd w:val="clear" w:color="auto" w:fill="auto"/>
            <w:vAlign w:val="center"/>
          </w:tcPr>
          <w:p w14:paraId="793183BC"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B97BB67"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6FD6538"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220C021" w14:textId="77777777" w:rsidR="00455D37" w:rsidRPr="00233B59"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7D7780F6"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C9B4870"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C36E042"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46094A"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9DF1009"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76ECEF"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66C4F7D" w14:textId="77777777" w:rsidR="00455D37"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34326972"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D03F7C9"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C45846D"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F64275"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55D37" w:rsidRPr="00233B59" w14:paraId="774CE0A1" w14:textId="77777777" w:rsidTr="0062668C">
        <w:tc>
          <w:tcPr>
            <w:tcW w:w="133" w:type="pct"/>
            <w:shd w:val="clear" w:color="auto" w:fill="auto"/>
          </w:tcPr>
          <w:p w14:paraId="3CA434D9" w14:textId="10F80ABF" w:rsidR="00455D37" w:rsidRPr="00D14D22"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7</w:t>
            </w:r>
          </w:p>
        </w:tc>
        <w:tc>
          <w:tcPr>
            <w:tcW w:w="210" w:type="pct"/>
            <w:shd w:val="clear" w:color="auto" w:fill="auto"/>
            <w:vAlign w:val="center"/>
          </w:tcPr>
          <w:p w14:paraId="028C4094"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99615C7" w14:textId="77777777" w:rsidR="00455D37" w:rsidRPr="00C6441A" w:rsidRDefault="00455D37" w:rsidP="00073752"/>
        </w:tc>
        <w:tc>
          <w:tcPr>
            <w:tcW w:w="184" w:type="pct"/>
            <w:shd w:val="clear" w:color="auto" w:fill="auto"/>
          </w:tcPr>
          <w:p w14:paraId="6DCE4CFB" w14:textId="3F48960A" w:rsidR="00455D37" w:rsidRPr="00614F84" w:rsidRDefault="00455D37" w:rsidP="00D36B35">
            <w:pPr>
              <w:jc w:val="center"/>
              <w:rPr>
                <w:rFonts w:ascii="Cambria" w:eastAsia="Times New Roman" w:hAnsi="Cambria" w:cs="Times New Roman"/>
                <w:color w:val="000000"/>
                <w:sz w:val="20"/>
                <w:szCs w:val="20"/>
              </w:rPr>
            </w:pPr>
            <w:r w:rsidRPr="00C37DD9">
              <w:t>17-000-034</w:t>
            </w:r>
          </w:p>
        </w:tc>
        <w:tc>
          <w:tcPr>
            <w:tcW w:w="178" w:type="pct"/>
            <w:shd w:val="clear" w:color="auto" w:fill="auto"/>
          </w:tcPr>
          <w:p w14:paraId="1E6C3A4A" w14:textId="5EB0C94F" w:rsidR="00455D37" w:rsidRPr="00614F84" w:rsidRDefault="00455D37" w:rsidP="00F359AA">
            <w:pPr>
              <w:jc w:val="center"/>
              <w:rPr>
                <w:rFonts w:ascii="Cambria" w:eastAsia="Times New Roman" w:hAnsi="Cambria" w:cs="Times New Roman"/>
                <w:color w:val="000000"/>
              </w:rPr>
            </w:pPr>
            <w:proofErr w:type="spellStart"/>
            <w:r w:rsidRPr="00C37DD9">
              <w:t>Pralidoxime</w:t>
            </w:r>
            <w:proofErr w:type="spellEnd"/>
            <w:r w:rsidRPr="00C37DD9">
              <w:t xml:space="preserve"> </w:t>
            </w:r>
            <w:proofErr w:type="spellStart"/>
            <w:r w:rsidRPr="00C37DD9">
              <w:t>mesylate</w:t>
            </w:r>
            <w:proofErr w:type="spellEnd"/>
            <w:r w:rsidRPr="00C37DD9">
              <w:t xml:space="preserve"> 1g/5ml (5ml Ampoule) </w:t>
            </w:r>
            <w:r w:rsidRPr="00C37DD9">
              <w:rPr>
                <w:rtl/>
              </w:rPr>
              <w:t>يتم تثبيت الاحتياج من قبل المركز الاستشاري لاستعلامات السموم + ذي قار</w:t>
            </w:r>
          </w:p>
        </w:tc>
        <w:tc>
          <w:tcPr>
            <w:tcW w:w="262" w:type="pct"/>
            <w:shd w:val="clear" w:color="auto" w:fill="auto"/>
            <w:vAlign w:val="center"/>
          </w:tcPr>
          <w:p w14:paraId="3904DB29" w14:textId="77777777" w:rsidR="00455D37" w:rsidRPr="00F04CA9" w:rsidRDefault="00455D37" w:rsidP="00073752">
            <w:pPr>
              <w:spacing w:after="0" w:line="240" w:lineRule="auto"/>
              <w:rPr>
                <w:rFonts w:eastAsia="Times New Roman" w:cs="Calibri"/>
                <w:color w:val="000000"/>
              </w:rPr>
            </w:pPr>
          </w:p>
        </w:tc>
        <w:tc>
          <w:tcPr>
            <w:tcW w:w="134" w:type="pct"/>
            <w:shd w:val="clear" w:color="auto" w:fill="auto"/>
            <w:vAlign w:val="center"/>
          </w:tcPr>
          <w:p w14:paraId="0A58892B" w14:textId="77777777" w:rsidR="00455D37" w:rsidRDefault="00455D37" w:rsidP="00073752">
            <w:pPr>
              <w:rPr>
                <w:rFonts w:cs="Calibri"/>
                <w:color w:val="000000"/>
              </w:rPr>
            </w:pPr>
          </w:p>
        </w:tc>
        <w:tc>
          <w:tcPr>
            <w:tcW w:w="106" w:type="pct"/>
            <w:shd w:val="clear" w:color="auto" w:fill="auto"/>
            <w:vAlign w:val="bottom"/>
          </w:tcPr>
          <w:p w14:paraId="0192DEDD" w14:textId="77777777" w:rsidR="00455D37" w:rsidRDefault="00455D37" w:rsidP="00073752">
            <w:pPr>
              <w:rPr>
                <w:rFonts w:cs="Calibri"/>
                <w:color w:val="000000"/>
                <w:sz w:val="16"/>
                <w:szCs w:val="16"/>
              </w:rPr>
            </w:pPr>
          </w:p>
        </w:tc>
        <w:tc>
          <w:tcPr>
            <w:tcW w:w="245" w:type="pct"/>
            <w:shd w:val="clear" w:color="auto" w:fill="auto"/>
            <w:vAlign w:val="bottom"/>
          </w:tcPr>
          <w:p w14:paraId="7A7C6626" w14:textId="77777777" w:rsidR="00455D37" w:rsidRDefault="00455D37" w:rsidP="00073752">
            <w:pPr>
              <w:rPr>
                <w:rFonts w:cs="Calibri"/>
                <w:color w:val="000000"/>
                <w:sz w:val="16"/>
                <w:szCs w:val="16"/>
              </w:rPr>
            </w:pPr>
          </w:p>
        </w:tc>
        <w:tc>
          <w:tcPr>
            <w:tcW w:w="230" w:type="pct"/>
            <w:shd w:val="clear" w:color="auto" w:fill="auto"/>
            <w:vAlign w:val="bottom"/>
          </w:tcPr>
          <w:p w14:paraId="1167C3E8" w14:textId="77777777" w:rsidR="00455D37" w:rsidRDefault="00455D37" w:rsidP="00073752">
            <w:pPr>
              <w:rPr>
                <w:rFonts w:cs="Calibri"/>
                <w:color w:val="000000"/>
                <w:sz w:val="16"/>
                <w:szCs w:val="16"/>
              </w:rPr>
            </w:pPr>
          </w:p>
        </w:tc>
        <w:tc>
          <w:tcPr>
            <w:tcW w:w="199" w:type="pct"/>
            <w:shd w:val="clear" w:color="auto" w:fill="auto"/>
            <w:vAlign w:val="bottom"/>
          </w:tcPr>
          <w:p w14:paraId="54D36349" w14:textId="77777777" w:rsidR="00455D37" w:rsidRDefault="00455D37" w:rsidP="00073752">
            <w:pPr>
              <w:rPr>
                <w:rFonts w:cs="Calibri"/>
                <w:color w:val="000000"/>
                <w:sz w:val="16"/>
                <w:szCs w:val="16"/>
              </w:rPr>
            </w:pPr>
          </w:p>
        </w:tc>
        <w:tc>
          <w:tcPr>
            <w:tcW w:w="203" w:type="pct"/>
            <w:shd w:val="clear" w:color="auto" w:fill="auto"/>
            <w:vAlign w:val="center"/>
          </w:tcPr>
          <w:p w14:paraId="4C94D6B6"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4FDF33D"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D692CF3"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EE2C2F" w14:textId="77777777" w:rsidR="00455D37" w:rsidRPr="00233B59"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5A21F2F8"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730383"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E5A9640"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42F10B"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725D3AB"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1360218"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FFB0453" w14:textId="77777777" w:rsidR="00455D37" w:rsidRDefault="00455D37"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4BE1A112" w14:textId="77777777" w:rsidR="00455D37" w:rsidRPr="005F17BD" w:rsidRDefault="00455D3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9ECFCDE"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3AD9583" w14:textId="77777777" w:rsidR="00455D37" w:rsidRPr="00233B59"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54D734B" w14:textId="77777777" w:rsidR="00455D37" w:rsidRDefault="00455D3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sz w:val="20"/>
          <w:rtl/>
          <w:lang w:bidi="ar-IQ"/>
        </w:rPr>
      </w:pPr>
    </w:p>
    <w:p w14:paraId="4A6B340F" w14:textId="77777777" w:rsidR="005336FA" w:rsidRDefault="005336FA" w:rsidP="005336FA">
      <w:pPr>
        <w:tabs>
          <w:tab w:val="right" w:pos="15336"/>
        </w:tabs>
        <w:bidi/>
        <w:ind w:right="-900"/>
        <w:rPr>
          <w:rFonts w:ascii="Arial Narrow" w:hAnsi="Arial Narrow"/>
          <w:sz w:val="20"/>
          <w:rtl/>
          <w:lang w:bidi="ar-IQ"/>
        </w:rPr>
      </w:pPr>
    </w:p>
    <w:p w14:paraId="0DB8F486" w14:textId="77777777" w:rsidR="005336FA" w:rsidRDefault="005336FA" w:rsidP="005336FA">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r w:rsidRPr="008D12BA">
              <w:rPr>
                <w:b/>
                <w:bCs/>
                <w:sz w:val="24"/>
                <w:szCs w:val="24"/>
                <w:lang w:bidi="ar-IQ"/>
              </w:rPr>
              <w:t>o  f</w:t>
            </w:r>
            <w:proofErr w:type="spell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the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r w:rsidRPr="008D12BA">
              <w:rPr>
                <w:sz w:val="24"/>
                <w:szCs w:val="24"/>
              </w:rPr>
              <w:t>) ,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2DC6CD" w14:textId="77777777" w:rsidR="001107FB" w:rsidRDefault="001107FB" w:rsidP="00400881">
      <w:pPr>
        <w:spacing w:after="0" w:line="240" w:lineRule="auto"/>
      </w:pPr>
      <w:r>
        <w:separator/>
      </w:r>
    </w:p>
  </w:endnote>
  <w:endnote w:type="continuationSeparator" w:id="0">
    <w:p w14:paraId="041F781F" w14:textId="77777777" w:rsidR="001107FB" w:rsidRDefault="001107F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55D0D" w:rsidRPr="00D1391E" w:rsidRDefault="00B55D0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55D37">
          <w:rPr>
            <w:noProof/>
            <w:sz w:val="24"/>
            <w:szCs w:val="24"/>
          </w:rPr>
          <w:t>116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9D711" w14:textId="77777777" w:rsidR="001107FB" w:rsidRDefault="001107FB" w:rsidP="00400881">
      <w:pPr>
        <w:spacing w:after="0" w:line="240" w:lineRule="auto"/>
      </w:pPr>
      <w:r>
        <w:separator/>
      </w:r>
    </w:p>
  </w:footnote>
  <w:footnote w:type="continuationSeparator" w:id="0">
    <w:p w14:paraId="077AAFD1" w14:textId="77777777" w:rsidR="001107FB" w:rsidRDefault="001107FB" w:rsidP="00400881">
      <w:pPr>
        <w:spacing w:after="0" w:line="240" w:lineRule="auto"/>
      </w:pPr>
      <w:r>
        <w:continuationSeparator/>
      </w:r>
    </w:p>
  </w:footnote>
  <w:footnote w:id="1">
    <w:p w14:paraId="3AE6532D" w14:textId="77777777" w:rsidR="00B55D0D" w:rsidRDefault="00B55D0D"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55D0D" w:rsidRDefault="00B55D0D"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55D0D" w:rsidRDefault="00B55D0D"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55D0D" w:rsidRDefault="00B55D0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55D0D" w:rsidRDefault="00B55D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55D0D" w:rsidRDefault="00B55D0D"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6EDB"/>
    <w:rsid w:val="00126F30"/>
    <w:rsid w:val="00133B8B"/>
    <w:rsid w:val="00137410"/>
    <w:rsid w:val="00145566"/>
    <w:rsid w:val="00147A8A"/>
    <w:rsid w:val="00155646"/>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A2ED0"/>
    <w:rsid w:val="004A4BE4"/>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7261B"/>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F8506-F5B9-43C4-8D96-5DFF28A71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1</Pages>
  <Words>35697</Words>
  <Characters>203476</Characters>
  <Application>Microsoft Office Word</Application>
  <DocSecurity>0</DocSecurity>
  <Lines>1695</Lines>
  <Paragraphs>477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83</cp:revision>
  <cp:lastPrinted>2022-01-19T07:17:00Z</cp:lastPrinted>
  <dcterms:created xsi:type="dcterms:W3CDTF">2022-01-13T10:10:00Z</dcterms:created>
  <dcterms:modified xsi:type="dcterms:W3CDTF">2023-04-04T07:14:00Z</dcterms:modified>
</cp:coreProperties>
</file>