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91669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C84D0C">
        <w:rPr>
          <w:rFonts w:asciiTheme="minorBidi" w:hAnsiTheme="minorBidi"/>
          <w:sz w:val="32"/>
          <w:szCs w:val="32"/>
          <w:highlight w:val="yellow"/>
        </w:rPr>
        <w:t>/</w:t>
      </w:r>
      <w:r w:rsidR="00A27870">
        <w:rPr>
          <w:rFonts w:asciiTheme="minorBidi" w:hAnsiTheme="minorBidi"/>
          <w:sz w:val="32"/>
          <w:szCs w:val="32"/>
        </w:rPr>
        <w:t>6</w:t>
      </w:r>
      <w:r w:rsidR="00916696">
        <w:rPr>
          <w:rFonts w:asciiTheme="minorBidi" w:hAnsiTheme="minorBidi"/>
          <w:sz w:val="32"/>
          <w:szCs w:val="32"/>
        </w:rPr>
        <w:t>7</w:t>
      </w:r>
    </w:p>
    <w:p w:rsidR="003D0A36" w:rsidRPr="00C84D0C" w:rsidRDefault="003D0A36" w:rsidP="00526E71">
      <w:pPr>
        <w:spacing w:after="0"/>
        <w:ind w:right="3"/>
        <w:rPr>
          <w:rFonts w:asciiTheme="minorBidi" w:hAnsiTheme="minorBidi"/>
          <w:sz w:val="32"/>
          <w:szCs w:val="32"/>
        </w:rPr>
      </w:pPr>
      <w:r w:rsidRPr="00C84D0C">
        <w:rPr>
          <w:rFonts w:asciiTheme="minorBidi" w:hAnsiTheme="minorBidi"/>
          <w:sz w:val="32"/>
          <w:szCs w:val="32"/>
        </w:rPr>
        <w:t>Date: issued in date</w:t>
      </w:r>
      <w:r w:rsidR="00C41C76">
        <w:rPr>
          <w:rFonts w:asciiTheme="minorBidi" w:hAnsiTheme="minorBidi"/>
          <w:sz w:val="32"/>
          <w:szCs w:val="32"/>
        </w:rPr>
        <w:t xml:space="preserve">   </w:t>
      </w:r>
      <w:r w:rsidR="00526E71">
        <w:rPr>
          <w:rFonts w:asciiTheme="minorBidi" w:hAnsiTheme="minorBidi"/>
          <w:sz w:val="32"/>
          <w:szCs w:val="32"/>
          <w:highlight w:val="yellow"/>
        </w:rPr>
        <w:t>15</w:t>
      </w:r>
      <w:r w:rsidRPr="00C84D0C">
        <w:rPr>
          <w:rFonts w:asciiTheme="minorBidi" w:hAnsiTheme="minorBidi"/>
          <w:sz w:val="32"/>
          <w:szCs w:val="32"/>
          <w:highlight w:val="yellow"/>
        </w:rPr>
        <w:t>/</w:t>
      </w:r>
      <w:r w:rsidR="00A27870">
        <w:rPr>
          <w:rFonts w:asciiTheme="minorBidi" w:hAnsiTheme="minorBidi"/>
          <w:sz w:val="32"/>
          <w:szCs w:val="32"/>
          <w:highlight w:val="yellow"/>
        </w:rPr>
        <w:t>5</w:t>
      </w:r>
      <w:r w:rsidRPr="00C84D0C">
        <w:rPr>
          <w:rFonts w:asciiTheme="minorBidi" w:hAnsiTheme="minorBidi"/>
          <w:sz w:val="32"/>
          <w:szCs w:val="32"/>
          <w:highlight w:val="yellow"/>
        </w:rPr>
        <w:t xml:space="preserve"> / </w:t>
      </w:r>
      <w:r w:rsidR="00C41C7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916696">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A27870">
        <w:rPr>
          <w:rFonts w:asciiTheme="minorBidi" w:hAnsiTheme="minorBidi"/>
          <w:sz w:val="32"/>
          <w:szCs w:val="32"/>
          <w:shd w:val="clear" w:color="auto" w:fill="FFFF00"/>
        </w:rPr>
        <w:t>6</w:t>
      </w:r>
      <w:r w:rsidR="00916696">
        <w:rPr>
          <w:rFonts w:asciiTheme="minorBidi" w:hAnsiTheme="minorBidi"/>
          <w:sz w:val="32"/>
          <w:szCs w:val="32"/>
          <w:shd w:val="clear" w:color="auto" w:fill="FFFF00"/>
        </w:rPr>
        <w:t>7</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C41C7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C41C76">
        <w:rPr>
          <w:b/>
          <w:bCs/>
          <w:sz w:val="28"/>
          <w:szCs w:val="28"/>
          <w:lang w:bidi="ar-IQ"/>
        </w:rPr>
        <w:t>Neurosurgery</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526E7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 or</w:t>
      </w:r>
      <w:r w:rsidRPr="00AC4DB8">
        <w:rPr>
          <w:rFonts w:asciiTheme="minorBidi" w:eastAsiaTheme="minorHAnsi" w:hAnsiTheme="minorBidi" w:cstheme="minorBidi"/>
          <w:sz w:val="28"/>
          <w:szCs w:val="28"/>
        </w:rPr>
        <w:t xml:space="preserve"> on the specified date {</w:t>
      </w:r>
      <w:r w:rsidR="00526E71">
        <w:rPr>
          <w:rFonts w:asciiTheme="minorBidi" w:eastAsiaTheme="minorHAnsi" w:hAnsiTheme="minorBidi" w:cstheme="minorBidi"/>
          <w:sz w:val="28"/>
          <w:szCs w:val="28"/>
        </w:rPr>
        <w:t>13</w:t>
      </w:r>
      <w:r w:rsidRPr="00AC4DB8">
        <w:rPr>
          <w:rFonts w:asciiTheme="minorBidi" w:eastAsiaTheme="minorHAnsi" w:hAnsiTheme="minorBidi" w:cstheme="minorBidi"/>
          <w:sz w:val="28"/>
          <w:szCs w:val="28"/>
        </w:rPr>
        <w:t>/</w:t>
      </w:r>
      <w:r w:rsidR="00526E71">
        <w:rPr>
          <w:rFonts w:asciiTheme="minorBidi" w:eastAsiaTheme="minorHAnsi" w:hAnsiTheme="minorBidi" w:cstheme="minorBidi"/>
          <w:sz w:val="28"/>
          <w:szCs w:val="28"/>
        </w:rPr>
        <w:t>6</w:t>
      </w:r>
      <w:r w:rsidRPr="00AC4DB8">
        <w:rPr>
          <w:rFonts w:asciiTheme="minorBidi" w:eastAsiaTheme="minorHAnsi" w:hAnsiTheme="minorBidi" w:cstheme="minorBidi"/>
          <w:sz w:val="28"/>
          <w:szCs w:val="28"/>
        </w:rPr>
        <w:t>/</w:t>
      </w:r>
      <w:r w:rsidR="00C41C76">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951369" w:rsidRPr="00CF0E5B">
        <w:rPr>
          <w:rFonts w:asciiTheme="minorBidi" w:eastAsiaTheme="minorHAnsi" w:hAnsiTheme="minorBidi" w:cstheme="minorBidi"/>
          <w:sz w:val="28"/>
          <w:szCs w:val="28"/>
          <w:highlight w:val="yellow"/>
        </w:rPr>
        <w:t>2:30pm</w:t>
      </w:r>
      <w:r w:rsidRPr="00AC4DB8">
        <w:rPr>
          <w:rFonts w:asciiTheme="minorBidi" w:eastAsiaTheme="minorHAnsi" w:hAnsiTheme="minorBidi" w:cstheme="minorBidi"/>
          <w:sz w:val="28"/>
          <w:szCs w:val="28"/>
        </w:rPr>
        <w:t>)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The State Company For 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A2787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C41C76">
              <w:rPr>
                <w:rFonts w:asciiTheme="minorBidi" w:hAnsiTheme="minorBidi"/>
                <w:sz w:val="28"/>
                <w:szCs w:val="28"/>
                <w:lang w:val="en-GB"/>
              </w:rPr>
              <w:t xml:space="preserve"> 91</w:t>
            </w:r>
            <w:r w:rsidR="005B741A" w:rsidRPr="00FB1F1E">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lang w:val="en-GB"/>
              </w:rPr>
              <w:t>2023</w:t>
            </w:r>
            <w:r w:rsidR="005B741A" w:rsidRPr="00C84D0C">
              <w:rPr>
                <w:rFonts w:asciiTheme="minorBidi" w:hAnsiTheme="minorBidi"/>
                <w:sz w:val="28"/>
                <w:szCs w:val="28"/>
                <w:highlight w:val="yellow"/>
                <w:lang w:val="en-GB"/>
              </w:rPr>
              <w:t>/</w:t>
            </w:r>
            <w:r w:rsidR="00A27870">
              <w:rPr>
                <w:rFonts w:asciiTheme="minorBidi" w:hAnsiTheme="minorBidi"/>
                <w:sz w:val="28"/>
                <w:szCs w:val="28"/>
                <w:highlight w:val="yellow"/>
                <w:lang w:val="en-GB"/>
              </w:rPr>
              <w:t>66</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A27870">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A27870">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526E71">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Pr="00351C67">
              <w:rPr>
                <w:rFonts w:asciiTheme="minorBidi" w:hAnsiTheme="minorBidi"/>
                <w:sz w:val="28"/>
                <w:szCs w:val="28"/>
                <w:highlight w:val="yellow"/>
                <w:shd w:val="clear" w:color="auto" w:fill="FFFF00"/>
                <w:lang w:val="en-GB"/>
              </w:rPr>
              <w:t>(</w:t>
            </w:r>
            <w:r w:rsidR="00526E71">
              <w:rPr>
                <w:rFonts w:asciiTheme="minorBidi" w:hAnsiTheme="minorBidi"/>
                <w:sz w:val="28"/>
                <w:szCs w:val="28"/>
                <w:highlight w:val="yellow"/>
                <w:lang w:val="en-GB"/>
              </w:rPr>
              <w:t>6</w:t>
            </w:r>
            <w:r w:rsidRPr="00C84D0C">
              <w:rPr>
                <w:rFonts w:asciiTheme="minorBidi" w:hAnsiTheme="minorBidi"/>
                <w:sz w:val="28"/>
                <w:szCs w:val="28"/>
                <w:highlight w:val="yellow"/>
                <w:lang w:val="en-GB"/>
              </w:rPr>
              <w:t>/</w:t>
            </w:r>
            <w:r w:rsidR="00526E71">
              <w:rPr>
                <w:rFonts w:asciiTheme="minorBidi" w:hAnsiTheme="minorBidi"/>
                <w:sz w:val="28"/>
                <w:szCs w:val="28"/>
                <w:highlight w:val="yellow"/>
                <w:lang w:val="en-GB"/>
              </w:rPr>
              <w:t>6</w:t>
            </w:r>
            <w:r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r w:rsidR="00CD59F7" w:rsidRPr="00C84D0C">
              <w:rPr>
                <w:rFonts w:asciiTheme="minorBidi" w:hAnsiTheme="minorBidi"/>
                <w:sz w:val="28"/>
                <w:szCs w:val="28"/>
                <w:lang w:val="en-GB"/>
              </w:rPr>
              <w:lastRenderedPageBreak/>
              <w:t>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bookmarkStart w:id="124" w:name="_GoBack"/>
            <w:bookmarkEnd w:id="124"/>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526E7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526E71">
              <w:rPr>
                <w:rFonts w:asciiTheme="minorBidi" w:hAnsiTheme="minorBidi"/>
                <w:sz w:val="28"/>
                <w:szCs w:val="28"/>
                <w:highlight w:val="yellow"/>
                <w:shd w:val="clear" w:color="auto" w:fill="FFFF00"/>
                <w:lang w:val="en-GB"/>
              </w:rPr>
              <w:t>13</w:t>
            </w:r>
            <w:r w:rsidR="00832F30" w:rsidRPr="00472481">
              <w:rPr>
                <w:rFonts w:asciiTheme="minorBidi" w:hAnsiTheme="minorBidi"/>
                <w:sz w:val="28"/>
                <w:szCs w:val="28"/>
                <w:highlight w:val="yellow"/>
                <w:shd w:val="clear" w:color="auto" w:fill="FFFF00"/>
                <w:lang w:val="en-GB"/>
              </w:rPr>
              <w:t xml:space="preserve">/ </w:t>
            </w:r>
            <w:r w:rsidR="00A27870">
              <w:rPr>
                <w:rFonts w:asciiTheme="minorBidi" w:hAnsiTheme="minorBidi"/>
                <w:sz w:val="28"/>
                <w:szCs w:val="28"/>
                <w:highlight w:val="yellow"/>
                <w:shd w:val="clear" w:color="auto" w:fill="FFFF00"/>
                <w:lang w:val="en-GB"/>
              </w:rPr>
              <w:t>6</w:t>
            </w:r>
            <w:r w:rsidR="00832F30" w:rsidRPr="00472481">
              <w:rPr>
                <w:rFonts w:asciiTheme="minorBidi" w:hAnsiTheme="minorBidi"/>
                <w:sz w:val="28"/>
                <w:szCs w:val="28"/>
                <w:highlight w:val="yellow"/>
                <w:shd w:val="clear" w:color="auto" w:fill="FFFF00"/>
                <w:lang w:val="en-GB"/>
              </w:rPr>
              <w:t xml:space="preserve"> /</w:t>
            </w:r>
            <w:r w:rsidR="00C41C76">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C41C76">
              <w:rPr>
                <w:rFonts w:asciiTheme="minorBidi" w:hAnsiTheme="minorBidi"/>
                <w:sz w:val="28"/>
                <w:szCs w:val="28"/>
                <w:shd w:val="clear" w:color="auto" w:fill="FFFF00"/>
                <w:lang w:val="en-GB"/>
              </w:rPr>
              <w:t xml:space="preserve"> </w:t>
            </w:r>
            <w:r w:rsidR="00832F30" w:rsidRPr="00C84D0C">
              <w:rPr>
                <w:rFonts w:asciiTheme="minorBidi" w:hAnsiTheme="minorBidi"/>
                <w:sz w:val="28"/>
                <w:szCs w:val="28"/>
                <w:lang w:val="en-GB"/>
              </w:rPr>
              <w:t xml:space="preserve">&amp; it could be extent as per our request. </w:t>
            </w:r>
          </w:p>
          <w:p w:rsidR="00B30368" w:rsidRPr="00C84D0C" w:rsidRDefault="00B30368" w:rsidP="00526E71">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C41C76">
              <w:rPr>
                <w:rFonts w:asciiTheme="minorBidi" w:hAnsiTheme="minorBidi"/>
                <w:sz w:val="28"/>
                <w:szCs w:val="28"/>
                <w:lang w:val="en-GB"/>
              </w:rPr>
              <w:t>(</w:t>
            </w:r>
            <w:r w:rsidR="00526E71">
              <w:rPr>
                <w:rFonts w:asciiTheme="minorBidi" w:hAnsiTheme="minorBidi"/>
                <w:sz w:val="28"/>
                <w:szCs w:val="28"/>
                <w:highlight w:val="yellow"/>
                <w:shd w:val="clear" w:color="auto" w:fill="FFFF00"/>
                <w:lang w:val="en-GB"/>
              </w:rPr>
              <w:t>11</w:t>
            </w:r>
            <w:r w:rsidR="00454DA4" w:rsidRPr="00472481">
              <w:rPr>
                <w:rFonts w:asciiTheme="minorBidi" w:hAnsiTheme="minorBidi"/>
                <w:sz w:val="28"/>
                <w:szCs w:val="28"/>
                <w:highlight w:val="yellow"/>
                <w:shd w:val="clear" w:color="auto" w:fill="FFFF00"/>
                <w:lang w:val="en-GB"/>
              </w:rPr>
              <w:t>/</w:t>
            </w:r>
            <w:r w:rsidR="00A27870">
              <w:rPr>
                <w:rFonts w:asciiTheme="minorBidi" w:hAnsiTheme="minorBidi"/>
                <w:sz w:val="28"/>
                <w:szCs w:val="28"/>
                <w:highlight w:val="yellow"/>
                <w:shd w:val="clear" w:color="auto" w:fill="FFFF00"/>
                <w:lang w:val="en-GB"/>
              </w:rPr>
              <w:t>7</w:t>
            </w:r>
            <w:r w:rsidR="00454DA4" w:rsidRPr="00472481">
              <w:rPr>
                <w:rFonts w:asciiTheme="minorBidi" w:hAnsiTheme="minorBidi"/>
                <w:sz w:val="28"/>
                <w:szCs w:val="28"/>
                <w:highlight w:val="yellow"/>
                <w:shd w:val="clear" w:color="auto" w:fill="FFFF00"/>
                <w:lang w:val="en-GB"/>
              </w:rPr>
              <w:t>/</w:t>
            </w:r>
            <w:r w:rsidR="00C41C7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r>
              <w:rPr>
                <w:rFonts w:asciiTheme="minorBidi" w:hAnsiTheme="minorBidi"/>
                <w:sz w:val="28"/>
                <w:szCs w:val="28"/>
                <w:lang w:val="en-GB"/>
              </w:rPr>
              <w:lastRenderedPageBreak/>
              <w:t xml:space="preserve">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r w:rsidRPr="00C84D0C">
              <w:rPr>
                <w:rFonts w:asciiTheme="minorBidi" w:hAnsiTheme="minorBidi"/>
                <w:sz w:val="28"/>
                <w:szCs w:val="28"/>
                <w:lang w:val="en-GB"/>
              </w:rPr>
              <w:lastRenderedPageBreak/>
              <w:t>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916696">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C41C76">
              <w:rPr>
                <w:rFonts w:asciiTheme="minorBidi" w:hAnsiTheme="minorBidi"/>
                <w:sz w:val="28"/>
                <w:szCs w:val="28"/>
                <w:lang w:val="en-GB"/>
              </w:rPr>
              <w:t>91</w:t>
            </w:r>
            <w:r w:rsidR="00056794">
              <w:rPr>
                <w:rFonts w:asciiTheme="minorBidi" w:hAnsiTheme="minorBidi"/>
                <w:sz w:val="28"/>
                <w:szCs w:val="28"/>
                <w:lang w:val="en-GB"/>
              </w:rPr>
              <w:t>/</w:t>
            </w:r>
            <w:r w:rsidR="00C41C76">
              <w:rPr>
                <w:rFonts w:asciiTheme="minorBidi" w:hAnsiTheme="minorBidi"/>
                <w:sz w:val="28"/>
                <w:szCs w:val="28"/>
                <w:lang w:val="en-GB"/>
              </w:rPr>
              <w:t>2023</w:t>
            </w:r>
            <w:r w:rsidR="00056794">
              <w:rPr>
                <w:rFonts w:asciiTheme="minorBidi" w:hAnsiTheme="minorBidi"/>
                <w:sz w:val="28"/>
                <w:szCs w:val="28"/>
                <w:lang w:val="en-GB"/>
              </w:rPr>
              <w:t>/</w:t>
            </w:r>
            <w:r w:rsidR="00A27870">
              <w:rPr>
                <w:rFonts w:asciiTheme="minorBidi" w:hAnsiTheme="minorBidi"/>
                <w:sz w:val="28"/>
                <w:szCs w:val="28"/>
                <w:lang w:val="en-GB"/>
              </w:rPr>
              <w:t>6</w:t>
            </w:r>
            <w:r w:rsidR="00916696">
              <w:rPr>
                <w:rFonts w:asciiTheme="minorBidi" w:hAnsiTheme="minorBidi"/>
                <w:sz w:val="28"/>
                <w:szCs w:val="28"/>
                <w:lang w:val="en-GB"/>
              </w:rPr>
              <w:t>7</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contract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526E7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526E71">
              <w:rPr>
                <w:rFonts w:asciiTheme="minorBidi" w:hAnsiTheme="minorBidi"/>
                <w:sz w:val="28"/>
                <w:szCs w:val="28"/>
                <w:highlight w:val="yellow"/>
                <w:lang w:val="en-GB"/>
              </w:rPr>
              <w:t>13</w:t>
            </w:r>
            <w:r w:rsidR="00056794">
              <w:rPr>
                <w:rFonts w:asciiTheme="minorBidi" w:hAnsiTheme="minorBidi"/>
                <w:sz w:val="28"/>
                <w:szCs w:val="28"/>
                <w:highlight w:val="yellow"/>
                <w:lang w:val="en-GB"/>
              </w:rPr>
              <w:t>/</w:t>
            </w:r>
            <w:r w:rsidR="007F7982">
              <w:rPr>
                <w:rFonts w:asciiTheme="minorBidi" w:hAnsiTheme="minorBidi"/>
                <w:sz w:val="28"/>
                <w:szCs w:val="28"/>
                <w:highlight w:val="yellow"/>
                <w:lang w:val="en-GB"/>
              </w:rPr>
              <w:t>6</w:t>
            </w:r>
            <w:r w:rsidR="00056794">
              <w:rPr>
                <w:rFonts w:asciiTheme="minorBidi" w:hAnsiTheme="minorBidi"/>
                <w:sz w:val="28"/>
                <w:szCs w:val="28"/>
                <w:highlight w:val="yellow"/>
                <w:lang w:val="en-GB"/>
              </w:rPr>
              <w:t>/</w:t>
            </w:r>
            <w:r w:rsidR="00C41C76">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C41C76">
              <w:rPr>
                <w:rFonts w:asciiTheme="minorBidi" w:hAnsiTheme="minorBidi"/>
                <w:sz w:val="28"/>
                <w:szCs w:val="28"/>
                <w:lang w:val="en-GB"/>
              </w:rPr>
              <w:t xml:space="preserve">Monday </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526E7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526E71">
              <w:rPr>
                <w:rFonts w:asciiTheme="minorBidi" w:hAnsiTheme="minorBidi"/>
                <w:sz w:val="28"/>
                <w:szCs w:val="28"/>
                <w:highlight w:val="yellow"/>
                <w:lang w:val="en-GB"/>
              </w:rPr>
              <w:t>14</w:t>
            </w:r>
            <w:r w:rsidR="001D1CA2" w:rsidRPr="00C84D0C">
              <w:rPr>
                <w:rFonts w:asciiTheme="minorBidi" w:hAnsiTheme="minorBidi"/>
                <w:sz w:val="28"/>
                <w:szCs w:val="28"/>
                <w:highlight w:val="yellow"/>
                <w:lang w:val="en-GB"/>
              </w:rPr>
              <w:t>/</w:t>
            </w:r>
            <w:r w:rsidR="007F7982">
              <w:rPr>
                <w:rFonts w:asciiTheme="minorBidi" w:hAnsiTheme="minorBidi"/>
                <w:sz w:val="28"/>
                <w:szCs w:val="28"/>
                <w:highlight w:val="yellow"/>
                <w:shd w:val="clear" w:color="auto" w:fill="FFFF00"/>
                <w:lang w:val="en-GB"/>
              </w:rPr>
              <w:t>6</w:t>
            </w:r>
            <w:r w:rsidR="001D1CA2" w:rsidRPr="0064743A">
              <w:rPr>
                <w:rFonts w:asciiTheme="minorBidi" w:hAnsiTheme="minorBidi"/>
                <w:sz w:val="28"/>
                <w:szCs w:val="28"/>
                <w:highlight w:val="yellow"/>
                <w:shd w:val="clear" w:color="auto" w:fill="FFFF00"/>
                <w:lang w:val="en-GB"/>
              </w:rPr>
              <w:t xml:space="preserve"> /</w:t>
            </w:r>
            <w:r w:rsidR="002065ED">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7F7982">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ab/>
      </w:r>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headerReference w:type="first" r:id="rId20"/>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II: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5F1346" w:rsidRDefault="00F34B92" w:rsidP="005F1346">
      <w:pPr>
        <w:pStyle w:val="explanatoryclause"/>
        <w:spacing w:after="0"/>
        <w:jc w:val="left"/>
        <w:rPr>
          <w:rFonts w:asciiTheme="minorBidi" w:hAnsiTheme="minorBidi" w:cstheme="minorBidi"/>
          <w:szCs w:val="24"/>
        </w:rPr>
      </w:pPr>
      <w:r w:rsidRPr="005F1346">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Default="00F34B92" w:rsidP="005F1346">
      <w:pPr>
        <w:spacing w:after="0"/>
        <w:rPr>
          <w:rFonts w:asciiTheme="minorBidi" w:hAnsiTheme="minorBidi"/>
          <w:sz w:val="24"/>
          <w:szCs w:val="24"/>
          <w:u w:val="single"/>
        </w:rPr>
      </w:pPr>
      <w:r w:rsidRPr="005F1346">
        <w:rPr>
          <w:rFonts w:asciiTheme="minorBidi" w:hAnsiTheme="minorBidi"/>
          <w:sz w:val="24"/>
          <w:szCs w:val="24"/>
          <w:u w:val="single"/>
        </w:rPr>
        <w:t>{The Contracting Entity shall include information and specifications in the schedules of medical supplies, as necessary)}.</w:t>
      </w:r>
    </w:p>
    <w:p w:rsidR="00916696" w:rsidRDefault="00916696" w:rsidP="00916696">
      <w:pPr>
        <w:spacing w:after="0"/>
        <w:rPr>
          <w:rFonts w:asciiTheme="minorBidi" w:hAnsiTheme="minorBidi"/>
          <w:sz w:val="24"/>
          <w:szCs w:val="24"/>
          <w:u w:val="single"/>
        </w:rPr>
      </w:pPr>
      <w:r w:rsidRPr="005F1346">
        <w:rPr>
          <w:rFonts w:asciiTheme="minorBidi" w:hAnsiTheme="minorBidi"/>
          <w:sz w:val="24"/>
          <w:szCs w:val="24"/>
          <w:u w:val="single"/>
        </w:rPr>
        <w:t>Summary of technical specifications of medical supplies</w:t>
      </w:r>
    </w:p>
    <w:p w:rsidR="00916696" w:rsidRDefault="00916696" w:rsidP="005F1346">
      <w:pPr>
        <w:spacing w:after="0"/>
        <w:rPr>
          <w:rFonts w:asciiTheme="minorBidi" w:hAnsiTheme="minorBidi"/>
          <w:sz w:val="24"/>
          <w:szCs w:val="24"/>
          <w:u w:val="single"/>
        </w:rPr>
      </w:pPr>
    </w:p>
    <w:p w:rsidR="00916696" w:rsidRPr="005F1346" w:rsidRDefault="00916696" w:rsidP="005F1346">
      <w:pPr>
        <w:spacing w:after="0"/>
        <w:rPr>
          <w:rFonts w:asciiTheme="minorBidi" w:hAnsiTheme="minorBidi"/>
          <w:sz w:val="24"/>
          <w:szCs w:val="24"/>
          <w:u w:val="single"/>
        </w:rPr>
      </w:pPr>
    </w:p>
    <w:tbl>
      <w:tblPr>
        <w:tblpPr w:leftFromText="180" w:rightFromText="180" w:bottomFromText="200" w:vertAnchor="text" w:horzAnchor="margin" w:tblpXSpec="center" w:tblpY="-284"/>
        <w:tblW w:w="10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908"/>
        <w:gridCol w:w="6926"/>
        <w:gridCol w:w="850"/>
        <w:gridCol w:w="956"/>
      </w:tblGrid>
      <w:tr w:rsidR="00916696" w:rsidRPr="000E462C" w:rsidTr="00526E71">
        <w:trPr>
          <w:trHeight w:val="61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916696" w:rsidRPr="000E462C" w:rsidRDefault="00916696" w:rsidP="00526E71">
            <w:pPr>
              <w:bidi/>
              <w:jc w:val="center"/>
              <w:rPr>
                <w:rFonts w:asciiTheme="minorBidi" w:eastAsia="Calibri" w:hAnsiTheme="minorBidi"/>
                <w:b/>
                <w:bCs/>
              </w:rPr>
            </w:pPr>
            <w:r w:rsidRPr="000E462C">
              <w:rPr>
                <w:rFonts w:asciiTheme="minorBidi" w:eastAsia="Calibri" w:hAnsiTheme="minorBidi"/>
                <w:b/>
                <w:bCs/>
              </w:rPr>
              <w:t>New National Code</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916696" w:rsidRPr="000E462C" w:rsidRDefault="00916696" w:rsidP="00526E71">
            <w:pPr>
              <w:bidi/>
              <w:jc w:val="center"/>
              <w:rPr>
                <w:rFonts w:asciiTheme="minorBidi" w:eastAsia="Calibri" w:hAnsiTheme="minorBidi"/>
                <w:b/>
                <w:bCs/>
                <w:rtl/>
              </w:rPr>
            </w:pPr>
            <w:r>
              <w:rPr>
                <w:rFonts w:asciiTheme="minorBidi" w:eastAsia="Calibri" w:hAnsiTheme="minorBidi"/>
                <w:b/>
                <w:bCs/>
              </w:rPr>
              <w:t xml:space="preserve">Items </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0E462C" w:rsidRDefault="00916696" w:rsidP="00526E71">
            <w:pPr>
              <w:bidi/>
              <w:rPr>
                <w:rFonts w:asciiTheme="minorBidi" w:eastAsia="Calibri" w:hAnsiTheme="minorBidi"/>
                <w:b/>
                <w:bCs/>
              </w:rPr>
            </w:pPr>
            <w:r>
              <w:rPr>
                <w:rFonts w:asciiTheme="minorBidi" w:eastAsia="Calibri" w:hAnsiTheme="minorBidi"/>
                <w:b/>
                <w:bCs/>
              </w:rPr>
              <w:t xml:space="preserve">Unit </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916696" w:rsidRPr="000E462C" w:rsidRDefault="00916696" w:rsidP="00526E71">
            <w:pPr>
              <w:bidi/>
              <w:spacing w:after="0"/>
              <w:jc w:val="center"/>
              <w:rPr>
                <w:rFonts w:asciiTheme="minorBidi" w:eastAsia="Calibri" w:hAnsiTheme="minorBidi"/>
                <w:b/>
                <w:bCs/>
              </w:rPr>
            </w:pPr>
            <w:r>
              <w:rPr>
                <w:rFonts w:asciiTheme="minorBidi" w:eastAsia="Calibri" w:hAnsiTheme="minorBidi"/>
                <w:b/>
                <w:bCs/>
              </w:rPr>
              <w:t xml:space="preserve">Qty </w:t>
            </w:r>
          </w:p>
        </w:tc>
      </w:tr>
      <w:tr w:rsidR="00916696" w:rsidRPr="000E462C" w:rsidTr="00526E71">
        <w:trPr>
          <w:trHeight w:val="545"/>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NUS-DE00-005</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 xml:space="preserve">SHUNT: </w:t>
            </w:r>
            <w:r w:rsidRPr="00345631">
              <w:rPr>
                <w:rFonts w:asciiTheme="minorBidi" w:eastAsia="Times New Roman" w:hAnsiTheme="minorBidi"/>
                <w:color w:val="000000"/>
                <w:sz w:val="24"/>
                <w:szCs w:val="24"/>
              </w:rPr>
              <w:br/>
              <w:t>C.S.F pressure  control shunt kit burr hole 12mmHg  high pressure</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Kit</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905</w:t>
            </w:r>
          </w:p>
        </w:tc>
      </w:tr>
      <w:tr w:rsidR="00916696" w:rsidRPr="000E462C" w:rsidTr="00526E71">
        <w:trPr>
          <w:trHeight w:val="52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NUS-DE00-013</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Flow regulated valves</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pcs</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653</w:t>
            </w:r>
          </w:p>
        </w:tc>
      </w:tr>
      <w:tr w:rsidR="00916696" w:rsidRPr="000E462C" w:rsidTr="00526E71">
        <w:trPr>
          <w:trHeight w:val="52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NUS-DE00-021</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Ommaya C.S.F reservoir</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pcs</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490</w:t>
            </w:r>
          </w:p>
        </w:tc>
      </w:tr>
      <w:tr w:rsidR="00916696" w:rsidRPr="000E462C" w:rsidTr="00526E71">
        <w:trPr>
          <w:trHeight w:val="545"/>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NUS-DE00-007</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C.S.F pressure control shunt burr hole 12mm, low pressure</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Kit</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793</w:t>
            </w:r>
          </w:p>
        </w:tc>
      </w:tr>
      <w:tr w:rsidR="00916696" w:rsidRPr="000E462C" w:rsidTr="00526E71">
        <w:trPr>
          <w:trHeight w:val="410"/>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NUS-DE00-009</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Ventricular catheter – standard- Barium impregnated</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pcs</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1,091</w:t>
            </w:r>
          </w:p>
        </w:tc>
      </w:tr>
      <w:tr w:rsidR="00916696" w:rsidRPr="000E462C" w:rsidTr="00526E71">
        <w:trPr>
          <w:trHeight w:val="43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NUS-DE00-015</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Flushing reservoir – Medium pressure</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pcs</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1,409</w:t>
            </w:r>
          </w:p>
        </w:tc>
      </w:tr>
      <w:tr w:rsidR="00916696" w:rsidRPr="000E462C" w:rsidTr="00526E71">
        <w:trPr>
          <w:trHeight w:val="52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NUS-DE00-056</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 xml:space="preserve">Programmable veritriculo peritoneal shunt  (Close   system)(BDK_002) </w:t>
            </w:r>
            <w:r w:rsidRPr="00345631">
              <w:rPr>
                <w:rFonts w:asciiTheme="minorBidi" w:eastAsia="Times New Roman" w:hAnsiTheme="minorBidi"/>
                <w:color w:val="000000"/>
                <w:sz w:val="24"/>
                <w:szCs w:val="24"/>
                <w:rtl/>
              </w:rPr>
              <w:t>مستلزم تابع للجهاز</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pcs</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630</w:t>
            </w:r>
          </w:p>
        </w:tc>
      </w:tr>
      <w:tr w:rsidR="00916696" w:rsidRPr="000E462C" w:rsidTr="00526E71">
        <w:trPr>
          <w:trHeight w:val="61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NUS-DE00-089</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Pediatric shunt with different opening pressure</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kit</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414</w:t>
            </w:r>
          </w:p>
        </w:tc>
      </w:tr>
      <w:tr w:rsidR="00916696" w:rsidRPr="000E462C" w:rsidTr="00526E71">
        <w:trPr>
          <w:trHeight w:val="455"/>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Nus-DE17-098</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Interstem therapy</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kit</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916696" w:rsidRPr="00345631" w:rsidRDefault="00916696" w:rsidP="00526E71">
            <w:pPr>
              <w:spacing w:after="0" w:line="240" w:lineRule="auto"/>
              <w:jc w:val="center"/>
              <w:rPr>
                <w:rFonts w:asciiTheme="minorBidi" w:eastAsia="Times New Roman" w:hAnsiTheme="minorBidi"/>
                <w:color w:val="000000"/>
                <w:sz w:val="24"/>
                <w:szCs w:val="24"/>
              </w:rPr>
            </w:pPr>
            <w:r w:rsidRPr="00345631">
              <w:rPr>
                <w:rFonts w:asciiTheme="minorBidi" w:eastAsia="Times New Roman" w:hAnsiTheme="minorBidi"/>
                <w:color w:val="000000"/>
                <w:sz w:val="24"/>
                <w:szCs w:val="24"/>
              </w:rPr>
              <w:t>55</w:t>
            </w:r>
          </w:p>
        </w:tc>
      </w:tr>
    </w:tbl>
    <w:p w:rsidR="00916696" w:rsidRPr="005F1346" w:rsidRDefault="00916696" w:rsidP="005F1346">
      <w:pPr>
        <w:spacing w:after="0"/>
        <w:rPr>
          <w:rFonts w:asciiTheme="minorBidi" w:hAnsiTheme="minorBidi"/>
          <w:lang w:bidi="ar-EG"/>
        </w:rPr>
      </w:pPr>
    </w:p>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8B4C24" w:rsidRDefault="008B4C24" w:rsidP="00916696">
      <w:pPr>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C41C7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3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4"/>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Tr="00C41C76">
        <w:tc>
          <w:tcPr>
            <w:tcW w:w="1795" w:type="dxa"/>
          </w:tcPr>
          <w:p w:rsidR="00746B55" w:rsidRPr="004F5E6D" w:rsidRDefault="00746B55" w:rsidP="00C41C76">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AB30CE" w:rsidRDefault="00746B55" w:rsidP="00C41C76">
            <w:pPr>
              <w:ind w:left="426" w:hanging="426"/>
              <w:jc w:val="both"/>
              <w:rPr>
                <w:rFonts w:asciiTheme="majorBidi" w:hAnsiTheme="majorBidi" w:cstheme="majorBidi"/>
                <w:sz w:val="24"/>
                <w:szCs w:val="24"/>
              </w:rPr>
            </w:pP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C41C76">
        <w:tc>
          <w:tcPr>
            <w:tcW w:w="1795" w:type="dxa"/>
          </w:tcPr>
          <w:p w:rsidR="00746B55" w:rsidRPr="00AB30CE" w:rsidRDefault="00746B55" w:rsidP="00C41C76">
            <w:pPr>
              <w:jc w:val="both"/>
              <w:rPr>
                <w:rFonts w:asciiTheme="majorBidi" w:hAnsiTheme="majorBidi" w:cstheme="majorBidi"/>
                <w:sz w:val="24"/>
                <w:szCs w:val="24"/>
              </w:rPr>
            </w:pPr>
          </w:p>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C41C76">
            <w:pPr>
              <w:jc w:val="center"/>
              <w:rPr>
                <w:rFonts w:asciiTheme="majorBidi" w:hAnsiTheme="majorBidi" w:cstheme="majorBidi"/>
                <w:b/>
                <w:bCs/>
                <w:sz w:val="28"/>
                <w:szCs w:val="28"/>
              </w:rPr>
            </w:pPr>
          </w:p>
        </w:tc>
        <w:tc>
          <w:tcPr>
            <w:tcW w:w="9075" w:type="dxa"/>
          </w:tcPr>
          <w:p w:rsidR="00746B55" w:rsidRDefault="00746B55" w:rsidP="00C41C76">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C41C76">
            <w:pPr>
              <w:ind w:left="426" w:hanging="426"/>
              <w:jc w:val="both"/>
              <w:rPr>
                <w:rFonts w:asciiTheme="majorBidi" w:hAnsiTheme="majorBidi" w:cstheme="majorBidi"/>
                <w:sz w:val="24"/>
                <w:szCs w:val="24"/>
              </w:rPr>
            </w:pP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C41C76">
            <w:pPr>
              <w:jc w:val="center"/>
              <w:rPr>
                <w:rFonts w:asciiTheme="majorBidi" w:hAnsiTheme="majorBidi" w:cstheme="majorBidi"/>
                <w:b/>
                <w:bCs/>
                <w:sz w:val="28"/>
                <w:szCs w:val="28"/>
              </w:rPr>
            </w:pPr>
          </w:p>
        </w:tc>
        <w:tc>
          <w:tcPr>
            <w:tcW w:w="9075" w:type="dxa"/>
          </w:tcPr>
          <w:p w:rsidR="00746B55" w:rsidRPr="00340CFD"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Pr="00AB30CE"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C41C76">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C41C76">
        <w:tc>
          <w:tcPr>
            <w:tcW w:w="3145" w:type="dxa"/>
          </w:tcPr>
          <w:p w:rsidR="00746B55" w:rsidRDefault="00746B55" w:rsidP="00C41C76">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Tr="00C41C76">
        <w:tc>
          <w:tcPr>
            <w:tcW w:w="2576"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C41C76">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C41C76">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C41C76">
        <w:tc>
          <w:tcPr>
            <w:tcW w:w="3775" w:type="dxa"/>
          </w:tcPr>
          <w:p w:rsidR="00746B55" w:rsidRPr="009B18A4" w:rsidRDefault="00746B55" w:rsidP="00C41C76">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C41C76">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C41C76">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B05AC3" w:rsidRDefault="00746B55" w:rsidP="00C41C76">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C41C76">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4349D5" w:rsidRDefault="00746B55" w:rsidP="00C41C76">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C41C76">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C41C76">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C41C76">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C41C76">
            <w:pPr>
              <w:rPr>
                <w:rFonts w:asciiTheme="majorBidi" w:hAnsiTheme="majorBidi" w:cstheme="majorBidi"/>
                <w:sz w:val="24"/>
                <w:szCs w:val="24"/>
                <w:lang w:bidi="ar-IQ"/>
              </w:rPr>
            </w:pPr>
          </w:p>
        </w:tc>
        <w:tc>
          <w:tcPr>
            <w:tcW w:w="7455" w:type="dxa"/>
          </w:tcPr>
          <w:p w:rsidR="00746B55" w:rsidRPr="00AB30CE" w:rsidRDefault="00746B55" w:rsidP="00C41C76">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C41C76">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C41C76">
            <w:pPr>
              <w:jc w:val="both"/>
              <w:rPr>
                <w:rFonts w:asciiTheme="majorBidi" w:hAnsiTheme="majorBidi" w:cstheme="majorBidi"/>
                <w:b/>
                <w:bCs/>
                <w:sz w:val="24"/>
                <w:szCs w:val="24"/>
              </w:rPr>
            </w:pPr>
          </w:p>
        </w:tc>
        <w:tc>
          <w:tcPr>
            <w:tcW w:w="6637"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C41C76">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purchaser  with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 xml:space="preserve">presenting documents (registration or re-registration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Certificate of  analysis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 xml:space="preserve">medical </w:t>
            </w:r>
            <w:r w:rsidR="003D0A36">
              <w:rPr>
                <w:rFonts w:ascii="Arial" w:hAnsi="Arial" w:cs="Arial"/>
                <w:b/>
                <w:bCs/>
                <w:sz w:val="20"/>
                <w:szCs w:val="20"/>
                <w:highlight w:val="yellow"/>
              </w:rPr>
              <w:lastRenderedPageBreak/>
              <w:t>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w:t>
            </w:r>
            <w:r w:rsidRPr="009F159F">
              <w:rPr>
                <w:b/>
                <w:bCs/>
                <w:sz w:val="28"/>
                <w:szCs w:val="28"/>
              </w:rPr>
              <w:lastRenderedPageBreak/>
              <w:t>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w:t>
            </w:r>
            <w:r w:rsidR="00866A5D" w:rsidRPr="00032EFB">
              <w:rPr>
                <w:sz w:val="28"/>
                <w:szCs w:val="28"/>
                <w:highlight w:val="green"/>
                <w:lang w:val="en-GB"/>
              </w:rPr>
              <w:lastRenderedPageBreak/>
              <w:t>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 xml:space="preserve">Medical </w:t>
            </w:r>
            <w:r w:rsidR="003D0A36">
              <w:rPr>
                <w:rFonts w:asciiTheme="minorBidi" w:hAnsiTheme="minorBidi"/>
                <w:sz w:val="28"/>
                <w:szCs w:val="28"/>
                <w:lang w:val="en-GB"/>
              </w:rPr>
              <w:lastRenderedPageBreak/>
              <w:t>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lastRenderedPageBreak/>
              <w:t>-</w:t>
            </w:r>
            <w:r w:rsidRPr="00A234B4">
              <w:rPr>
                <w:sz w:val="28"/>
                <w:szCs w:val="28"/>
                <w:highlight w:val="yellow"/>
              </w:rPr>
              <w:t>-</w:t>
            </w:r>
            <w:r w:rsidRPr="00A234B4">
              <w:rPr>
                <w:rFonts w:ascii="Arial" w:hAnsi="Arial" w:cs="Arial"/>
                <w:b/>
                <w:bCs/>
                <w:sz w:val="20"/>
                <w:szCs w:val="20"/>
                <w:highlight w:val="yellow"/>
              </w:rPr>
              <w:t>the supplier have to compenset 100% the expire quantity that found in MOH/Kimadia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lastRenderedPageBreak/>
              <w:t xml:space="preserve"> </w:t>
            </w:r>
            <w:r w:rsidRPr="00C84D0C">
              <w:rPr>
                <w:rFonts w:asciiTheme="minorBidi" w:hAnsiTheme="minorBidi"/>
                <w:sz w:val="28"/>
                <w:szCs w:val="28"/>
                <w:lang w:val="en-GB"/>
              </w:rPr>
              <w:t>-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r w:rsidRPr="00CB2232">
              <w:rPr>
                <w:rFonts w:ascii="Arial" w:hAnsi="Arial" w:cs="Arial"/>
                <w:b/>
                <w:bCs/>
                <w:sz w:val="20"/>
                <w:szCs w:val="20"/>
              </w:rPr>
              <w:lastRenderedPageBreak/>
              <w:t>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 xml:space="preserve">C.If an exceptionable condition have occurred after contracting which is out of contractors hand which can't be avoided or expected upon </w:t>
            </w:r>
            <w:r w:rsidRPr="00CB2232">
              <w:rPr>
                <w:rFonts w:ascii="Arial" w:hAnsi="Arial" w:cs="Arial"/>
                <w:b/>
                <w:bCs/>
                <w:sz w:val="20"/>
                <w:szCs w:val="20"/>
              </w:rPr>
              <w:lastRenderedPageBreak/>
              <w:t>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lastRenderedPageBreak/>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 xml:space="preserve">The Iraqi law is considered the law which should be applied when having dispute concerning the application of the provisions of this </w:t>
            </w:r>
            <w:r w:rsidRPr="00CB2232">
              <w:rPr>
                <w:rFonts w:ascii="Arial" w:hAnsi="Arial" w:cs="Arial"/>
                <w:b/>
                <w:bCs/>
                <w:sz w:val="20"/>
                <w:szCs w:val="20"/>
              </w:rPr>
              <w:lastRenderedPageBreak/>
              <w:t>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4"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AAE" w:rsidRDefault="00C06AAE" w:rsidP="00C10F59">
      <w:pPr>
        <w:spacing w:after="0" w:line="240" w:lineRule="auto"/>
      </w:pPr>
      <w:r>
        <w:separator/>
      </w:r>
    </w:p>
  </w:endnote>
  <w:endnote w:type="continuationSeparator" w:id="1">
    <w:p w:rsidR="00C06AAE" w:rsidRDefault="00C06AAE"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rsidP="0091669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67   (</w:t>
    </w:r>
    <w:r w:rsidRPr="00C41C76">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  DDP</w:t>
    </w:r>
  </w:p>
  <w:p w:rsidR="00526E71" w:rsidRDefault="00526E71"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526E71" w:rsidRDefault="00526E71"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526E71" w:rsidRDefault="00526E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rsidP="0091669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67   (</w:t>
    </w:r>
    <w:r w:rsidRPr="00C41C76">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  DDP</w:t>
    </w:r>
  </w:p>
  <w:p w:rsidR="00526E71" w:rsidRDefault="00526E71" w:rsidP="00393AF4">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526E71" w:rsidRPr="009E776D" w:rsidRDefault="00526E71" w:rsidP="009E776D">
    <w:pPr>
      <w:spacing w:after="0"/>
      <w:rPr>
        <w:rFonts w:asciiTheme="majorHAnsi" w:hAnsiTheme="majorHAnsi"/>
      </w:rPr>
    </w:pPr>
    <w:r w:rsidRPr="009E776D">
      <w:rPr>
        <w:rFonts w:asciiTheme="majorHAnsi" w:hAnsiTheme="majorHAnsi"/>
      </w:rPr>
      <w:t>Drugs Medical Appliances (kimadia )</w:t>
    </w:r>
  </w:p>
  <w:p w:rsidR="00526E71" w:rsidRDefault="00526E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9A539F">
      <w:fldChar w:fldCharType="begin"/>
    </w:r>
    <w:r>
      <w:instrText xml:space="preserve"> PAGE   \* MERGEFORMAT </w:instrText>
    </w:r>
    <w:r w:rsidRPr="009A539F">
      <w:fldChar w:fldCharType="separate"/>
    </w:r>
    <w:r w:rsidRPr="00526E71">
      <w:rPr>
        <w:rFonts w:asciiTheme="majorHAnsi" w:hAnsiTheme="majorHAnsi"/>
        <w:noProof/>
      </w:rPr>
      <w:t>120</w:t>
    </w:r>
    <w:r>
      <w:rPr>
        <w:rFonts w:asciiTheme="majorHAnsi" w:hAnsiTheme="majorHAnsi"/>
        <w:noProof/>
      </w:rPr>
      <w:fldChar w:fldCharType="end"/>
    </w:r>
  </w:p>
  <w:p w:rsidR="00526E71" w:rsidRDefault="00526E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AAE" w:rsidRDefault="00C06AAE" w:rsidP="00C10F59">
      <w:pPr>
        <w:spacing w:after="0" w:line="240" w:lineRule="auto"/>
      </w:pPr>
      <w:r>
        <w:separator/>
      </w:r>
    </w:p>
  </w:footnote>
  <w:footnote w:type="continuationSeparator" w:id="1">
    <w:p w:rsidR="00C06AAE" w:rsidRDefault="00C06AAE"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Pr="00162127" w:rsidRDefault="00526E71">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pPr>
      <w:pStyle w:val="Header"/>
      <w:pBdr>
        <w:bottom w:val="single" w:sz="4" w:space="1" w:color="auto"/>
      </w:pBdr>
    </w:pPr>
    <w:r>
      <w:t>Section VII. General Conditions of Contract</w:t>
    </w:r>
    <w:r>
      <w:tab/>
    </w:r>
    <w:fldSimple w:instr=" PAGE ">
      <w:r>
        <w:rPr>
          <w:noProof/>
        </w:rPr>
        <w:t>120</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526E71" w:rsidRDefault="00526E71">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7</w:t>
        </w:r>
        <w:r w:rsidRPr="004B2BDA">
          <w:rPr>
            <w:b/>
            <w:bCs/>
          </w:rPr>
          <w:fldChar w:fldCharType="end"/>
        </w:r>
      </w:p>
    </w:sdtContent>
  </w:sdt>
  <w:p w:rsidR="00526E71" w:rsidRDefault="00526E71">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82033E">
      <w:rPr>
        <w:rStyle w:val="PageNumber"/>
        <w:noProof/>
      </w:rPr>
      <w:t>59</w:t>
    </w:r>
    <w:r>
      <w:rPr>
        <w:rStyle w:val="PageNumber"/>
      </w:rPr>
      <w:fldChar w:fldCharType="end"/>
    </w:r>
  </w:p>
  <w:p w:rsidR="00526E71" w:rsidRDefault="00526E71">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74</w:t>
    </w:r>
    <w:r>
      <w:rPr>
        <w:rStyle w:val="PageNumber"/>
        <w:sz w:val="20"/>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rsidP="00B47DB8">
    <w:pPr>
      <w:pBdr>
        <w:bottom w:val="single" w:sz="4" w:space="1" w:color="auto"/>
      </w:pBdr>
      <w:tabs>
        <w:tab w:val="right" w:pos="9000"/>
      </w:tabs>
    </w:pPr>
    <w:r>
      <w:t>Section V. Eligible Countries</w:t>
    </w:r>
    <w:r>
      <w:tab/>
    </w:r>
    <w:fldSimple w:instr=" PAGE ">
      <w:r>
        <w:rPr>
          <w:noProof/>
        </w:rPr>
        <w:t>68</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E71" w:rsidRDefault="00526E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35522"/>
  </w:hdrShapeDefaults>
  <w:footnotePr>
    <w:footnote w:id="0"/>
    <w:footnote w:id="1"/>
  </w:footnotePr>
  <w:endnotePr>
    <w:numFmt w:val="decimal"/>
    <w:endnote w:id="0"/>
    <w:endnote w:id="1"/>
  </w:endnotePr>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065ED"/>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7F5"/>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4565"/>
    <w:rsid w:val="004F51B1"/>
    <w:rsid w:val="004F69CE"/>
    <w:rsid w:val="0050463F"/>
    <w:rsid w:val="00512545"/>
    <w:rsid w:val="00514081"/>
    <w:rsid w:val="00514DAA"/>
    <w:rsid w:val="00515EA4"/>
    <w:rsid w:val="005204E4"/>
    <w:rsid w:val="00524191"/>
    <w:rsid w:val="00526E7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1346"/>
    <w:rsid w:val="005F1969"/>
    <w:rsid w:val="005F66E6"/>
    <w:rsid w:val="00600C81"/>
    <w:rsid w:val="006030B7"/>
    <w:rsid w:val="006109B7"/>
    <w:rsid w:val="006110FF"/>
    <w:rsid w:val="00624B21"/>
    <w:rsid w:val="00630EC0"/>
    <w:rsid w:val="006338E4"/>
    <w:rsid w:val="006443E9"/>
    <w:rsid w:val="00646931"/>
    <w:rsid w:val="0064743A"/>
    <w:rsid w:val="00653FC7"/>
    <w:rsid w:val="0065724A"/>
    <w:rsid w:val="00661515"/>
    <w:rsid w:val="00662A5D"/>
    <w:rsid w:val="00667351"/>
    <w:rsid w:val="0067444B"/>
    <w:rsid w:val="00680D47"/>
    <w:rsid w:val="00683AFD"/>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3D9E"/>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4A29"/>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7F7982"/>
    <w:rsid w:val="00802A01"/>
    <w:rsid w:val="008062D1"/>
    <w:rsid w:val="008125F3"/>
    <w:rsid w:val="0082033E"/>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696"/>
    <w:rsid w:val="00916B8B"/>
    <w:rsid w:val="00917807"/>
    <w:rsid w:val="00920047"/>
    <w:rsid w:val="00921161"/>
    <w:rsid w:val="009211E7"/>
    <w:rsid w:val="00925486"/>
    <w:rsid w:val="00925C23"/>
    <w:rsid w:val="00926442"/>
    <w:rsid w:val="0094270C"/>
    <w:rsid w:val="009448D4"/>
    <w:rsid w:val="00947EF7"/>
    <w:rsid w:val="00951369"/>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39F"/>
    <w:rsid w:val="009A583A"/>
    <w:rsid w:val="009B4876"/>
    <w:rsid w:val="009B499F"/>
    <w:rsid w:val="009C2CDA"/>
    <w:rsid w:val="009C7BC9"/>
    <w:rsid w:val="009C7F49"/>
    <w:rsid w:val="009D1CF0"/>
    <w:rsid w:val="009D39B0"/>
    <w:rsid w:val="009D3F2A"/>
    <w:rsid w:val="009D45C2"/>
    <w:rsid w:val="009D4D06"/>
    <w:rsid w:val="009D517E"/>
    <w:rsid w:val="009D6C5B"/>
    <w:rsid w:val="009E4167"/>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27870"/>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BF7D91"/>
    <w:rsid w:val="00C028E5"/>
    <w:rsid w:val="00C037DD"/>
    <w:rsid w:val="00C06AAE"/>
    <w:rsid w:val="00C0795E"/>
    <w:rsid w:val="00C10F59"/>
    <w:rsid w:val="00C139A2"/>
    <w:rsid w:val="00C13DD1"/>
    <w:rsid w:val="00C1606E"/>
    <w:rsid w:val="00C16BE6"/>
    <w:rsid w:val="00C21B44"/>
    <w:rsid w:val="00C23E01"/>
    <w:rsid w:val="00C27655"/>
    <w:rsid w:val="00C31B41"/>
    <w:rsid w:val="00C33C12"/>
    <w:rsid w:val="00C352E8"/>
    <w:rsid w:val="00C37636"/>
    <w:rsid w:val="00C41C7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27C7"/>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2.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89D1D-B2E2-4FC9-A141-324EB664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120</Pages>
  <Words>31295</Words>
  <Characters>178387</Characters>
  <Application>Microsoft Office Word</Application>
  <DocSecurity>0</DocSecurity>
  <Lines>1486</Lines>
  <Paragraphs>418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209264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117</cp:revision>
  <cp:lastPrinted>2022-03-15T11:08:00Z</cp:lastPrinted>
  <dcterms:created xsi:type="dcterms:W3CDTF">2022-01-11T23:52:00Z</dcterms:created>
  <dcterms:modified xsi:type="dcterms:W3CDTF">2023-05-10T19:01:00Z</dcterms:modified>
</cp:coreProperties>
</file>