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EF6A82">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F6A82">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EF6A82">
              <w:rPr>
                <w:sz w:val="24"/>
                <w:szCs w:val="24"/>
              </w:rPr>
              <w:t>AB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F6A8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F6A82">
              <w:rPr>
                <w:rFonts w:ascii="Arial" w:hAnsi="Arial"/>
                <w:sz w:val="24"/>
                <w:szCs w:val="24"/>
                <w:highlight w:val="cyan"/>
              </w:rPr>
              <w:t>4</w:t>
            </w:r>
            <w:r w:rsidRPr="008D12BA">
              <w:rPr>
                <w:rFonts w:ascii="Arial" w:hAnsi="Arial"/>
                <w:sz w:val="24"/>
                <w:szCs w:val="24"/>
                <w:highlight w:val="cyan"/>
              </w:rPr>
              <w:t xml:space="preserve"> /</w:t>
            </w:r>
            <w:r w:rsidR="00EF6A82">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EF6A8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F6A82">
              <w:rPr>
                <w:rFonts w:ascii="Arial" w:hAnsi="Arial"/>
                <w:spacing w:val="-2"/>
                <w:sz w:val="24"/>
                <w:szCs w:val="24"/>
                <w:highlight w:val="cyan"/>
              </w:rPr>
              <w:t>3</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EF6A82">
              <w:rPr>
                <w:rFonts w:ascii="Arial" w:hAnsi="Arial"/>
                <w:spacing w:val="-2"/>
                <w:sz w:val="24"/>
                <w:szCs w:val="24"/>
                <w:highlight w:val="cyan"/>
              </w:rPr>
              <w:t>AB</w:t>
            </w:r>
            <w:r w:rsidR="00EF6A82">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F6A82">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F6A82">
              <w:rPr>
                <w:sz w:val="24"/>
                <w:szCs w:val="24"/>
              </w:rPr>
              <w:t>4</w:t>
            </w:r>
            <w:r w:rsidRPr="008D12BA">
              <w:rPr>
                <w:sz w:val="24"/>
                <w:szCs w:val="24"/>
                <w:highlight w:val="cyan"/>
              </w:rPr>
              <w:t xml:space="preserve">/ </w:t>
            </w:r>
            <w:proofErr w:type="gramStart"/>
            <w:r w:rsidR="00EF6A82">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EF6A82">
              <w:rPr>
                <w:sz w:val="24"/>
                <w:szCs w:val="24"/>
                <w:highlight w:val="cyan"/>
              </w:rPr>
              <w:t>10</w:t>
            </w:r>
            <w:r w:rsidRPr="008D12BA">
              <w:rPr>
                <w:sz w:val="24"/>
                <w:szCs w:val="24"/>
                <w:highlight w:val="cyan"/>
              </w:rPr>
              <w:t xml:space="preserve"> /     </w:t>
            </w:r>
            <w:r w:rsidR="00EF6A82">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F6A8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EF6A82">
              <w:rPr>
                <w:sz w:val="24"/>
                <w:szCs w:val="24"/>
              </w:rPr>
              <w:t xml:space="preserve"> </w:t>
            </w:r>
            <w:r w:rsidR="00EF6A82">
              <w:rPr>
                <w:rFonts w:ascii="Arial" w:hAnsi="Arial"/>
                <w:sz w:val="24"/>
                <w:szCs w:val="24"/>
                <w:highlight w:val="cyan"/>
              </w:rPr>
              <w:t>17</w:t>
            </w:r>
            <w:r w:rsidRPr="008D12BA">
              <w:rPr>
                <w:rFonts w:ascii="Arial" w:hAnsi="Arial"/>
                <w:sz w:val="24"/>
                <w:szCs w:val="24"/>
                <w:highlight w:val="cyan"/>
              </w:rPr>
              <w:t xml:space="preserve"> / </w:t>
            </w:r>
            <w:proofErr w:type="gramStart"/>
            <w:r w:rsidR="00EF6A82">
              <w:rPr>
                <w:rFonts w:ascii="Arial" w:hAnsi="Arial"/>
                <w:sz w:val="24"/>
                <w:szCs w:val="24"/>
                <w:highlight w:val="cyan"/>
              </w:rPr>
              <w:t>5</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3"/>
        <w:gridCol w:w="1413"/>
        <w:gridCol w:w="2945"/>
        <w:gridCol w:w="1276"/>
        <w:gridCol w:w="2094"/>
        <w:gridCol w:w="1253"/>
        <w:gridCol w:w="1264"/>
        <w:gridCol w:w="1264"/>
        <w:gridCol w:w="1125"/>
        <w:gridCol w:w="1264"/>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EF6A8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F6A82">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EF6A82">
              <w:rPr>
                <w:rFonts w:ascii="Arial" w:eastAsia="Times New Roman" w:hAnsi="Arial"/>
                <w:b/>
                <w:bCs/>
                <w:sz w:val="24"/>
                <w:szCs w:val="24"/>
                <w:u w:val="single"/>
              </w:rPr>
              <w:t>/</w:t>
            </w:r>
            <w:proofErr w:type="spellStart"/>
            <w:r w:rsidR="00EF6A82">
              <w:rPr>
                <w:rFonts w:ascii="Arial" w:eastAsia="Times New Roman" w:hAnsi="Arial"/>
                <w:b/>
                <w:bCs/>
                <w:sz w:val="24"/>
                <w:szCs w:val="24"/>
                <w:u w:val="single"/>
              </w:rPr>
              <w:t>Ab</w:t>
            </w:r>
            <w:proofErr w:type="spellEnd"/>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EF6A82">
        <w:trPr>
          <w:trHeight w:val="900"/>
        </w:trPr>
        <w:tc>
          <w:tcPr>
            <w:tcW w:w="703"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3"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4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09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5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4"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4"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4"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C577A3" w:rsidRPr="00844D38" w:rsidTr="00EF6A82">
        <w:trPr>
          <w:trHeight w:val="495"/>
        </w:trPr>
        <w:tc>
          <w:tcPr>
            <w:tcW w:w="703" w:type="dxa"/>
          </w:tcPr>
          <w:p w:rsidR="00C577A3" w:rsidRPr="00DB69E7" w:rsidRDefault="00C577A3" w:rsidP="00EF6A82">
            <w:r w:rsidRPr="00DB69E7">
              <w:t>1</w:t>
            </w:r>
          </w:p>
        </w:tc>
        <w:tc>
          <w:tcPr>
            <w:tcW w:w="1413" w:type="dxa"/>
          </w:tcPr>
          <w:p w:rsidR="00C577A3" w:rsidRPr="00DB69E7" w:rsidRDefault="00C577A3" w:rsidP="00EF6A82">
            <w:r w:rsidRPr="00DB69E7">
              <w:t>14-AD0-029</w:t>
            </w:r>
          </w:p>
        </w:tc>
        <w:tc>
          <w:tcPr>
            <w:tcW w:w="2945" w:type="dxa"/>
          </w:tcPr>
          <w:p w:rsidR="00C577A3" w:rsidRPr="00DB69E7" w:rsidRDefault="00C577A3" w:rsidP="00EF6A82">
            <w:r w:rsidRPr="00DB69E7">
              <w:t>Fentanyl (as citrate)50mcg/ml ( 2ml) Ampoule</w:t>
            </w:r>
          </w:p>
        </w:tc>
        <w:tc>
          <w:tcPr>
            <w:tcW w:w="1276" w:type="dxa"/>
          </w:tcPr>
          <w:p w:rsidR="00C577A3" w:rsidRPr="00DB69E7" w:rsidRDefault="00C577A3" w:rsidP="00EF6A82">
            <w:r w:rsidRPr="00DB69E7">
              <w:t>148,085</w:t>
            </w:r>
          </w:p>
        </w:tc>
        <w:tc>
          <w:tcPr>
            <w:tcW w:w="2094" w:type="dxa"/>
          </w:tcPr>
          <w:p w:rsidR="00C577A3" w:rsidRPr="00DB69E7" w:rsidRDefault="00C577A3" w:rsidP="00EF6A82"/>
        </w:tc>
        <w:tc>
          <w:tcPr>
            <w:tcW w:w="1253" w:type="dxa"/>
          </w:tcPr>
          <w:p w:rsidR="00C577A3" w:rsidRPr="000E260D" w:rsidRDefault="00C577A3" w:rsidP="00BB34CB">
            <w:r w:rsidRPr="000E260D">
              <w:t>10 amp(2ml)</w:t>
            </w:r>
          </w:p>
        </w:tc>
        <w:tc>
          <w:tcPr>
            <w:tcW w:w="1264" w:type="dxa"/>
          </w:tcPr>
          <w:p w:rsidR="00C577A3" w:rsidRPr="000E260D" w:rsidRDefault="00C577A3" w:rsidP="00BB34CB">
            <w:r w:rsidRPr="000E260D">
              <w:t>5.2</w:t>
            </w:r>
          </w:p>
        </w:tc>
        <w:tc>
          <w:tcPr>
            <w:tcW w:w="1264" w:type="dxa"/>
          </w:tcPr>
          <w:p w:rsidR="00C577A3" w:rsidRPr="000E260D" w:rsidRDefault="00C577A3" w:rsidP="00BB34CB">
            <w:r w:rsidRPr="000E260D">
              <w:t>3.7</w:t>
            </w:r>
          </w:p>
        </w:tc>
        <w:tc>
          <w:tcPr>
            <w:tcW w:w="1125" w:type="dxa"/>
          </w:tcPr>
          <w:p w:rsidR="00C577A3" w:rsidRPr="000E260D" w:rsidRDefault="00C577A3" w:rsidP="00BB34CB">
            <w:r w:rsidRPr="000E260D">
              <w:t>2.37</w:t>
            </w:r>
          </w:p>
        </w:tc>
        <w:tc>
          <w:tcPr>
            <w:tcW w:w="1264" w:type="dxa"/>
          </w:tcPr>
          <w:p w:rsidR="00C577A3" w:rsidRDefault="00C577A3" w:rsidP="00BB34CB">
            <w:r w:rsidRPr="000E260D">
              <w:t>1.32</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lastRenderedPageBreak/>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lastRenderedPageBreak/>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lastRenderedPageBreak/>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F6A8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F6A82">
              <w:rPr>
                <w:rFonts w:ascii="Arial" w:hAnsi="Arial"/>
                <w:b/>
                <w:spacing w:val="-2"/>
                <w:sz w:val="24"/>
                <w:szCs w:val="24"/>
                <w:highlight w:val="cyan"/>
              </w:rPr>
              <w:t>3</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EF6A82">
              <w:rPr>
                <w:rFonts w:ascii="Arial" w:hAnsi="Arial"/>
                <w:b/>
                <w:spacing w:val="-2"/>
                <w:sz w:val="24"/>
                <w:szCs w:val="24"/>
                <w:highlight w:val="cyan"/>
              </w:rPr>
              <w:t xml:space="preserve">Ab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16013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60134">
              <w:rPr>
                <w:rFonts w:ascii="Arial" w:hAnsi="Arial"/>
                <w:bCs/>
                <w:spacing w:val="-2"/>
                <w:sz w:val="24"/>
                <w:szCs w:val="24"/>
              </w:rPr>
              <w:t>1D</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EF6A82" w:rsidRDefault="00672659" w:rsidP="00B60B3B">
            <w:pPr>
              <w:ind w:left="515" w:hanging="515"/>
              <w:jc w:val="both"/>
              <w:rPr>
                <w:rFonts w:ascii="Arial Narrow" w:eastAsia="Times New Roman" w:hAnsi="Arial Narrow" w:cs="Times New Roman"/>
                <w:b/>
                <w:bCs/>
                <w:sz w:val="24"/>
                <w:szCs w:val="24"/>
              </w:rPr>
            </w:pPr>
            <w:r w:rsidRPr="00EF6A82">
              <w:rPr>
                <w:rFonts w:ascii="Arial Narrow" w:eastAsia="Times New Roman" w:hAnsi="Arial Narrow" w:cs="Times New Roman"/>
                <w:b/>
                <w:bCs/>
                <w:sz w:val="24"/>
                <w:szCs w:val="24"/>
              </w:rPr>
              <w:t>ITB</w:t>
            </w:r>
            <w:r w:rsidRPr="00EF6A82">
              <w:rPr>
                <w:rFonts w:ascii="Arial Narrow" w:eastAsia="Times New Roman" w:hAnsi="Arial Narrow" w:cs="Times New Roman"/>
                <w:b/>
                <w:bCs/>
                <w:sz w:val="24"/>
                <w:szCs w:val="24"/>
              </w:rPr>
              <w:tab/>
              <w:t>4.1</w:t>
            </w:r>
          </w:p>
          <w:p w:rsidR="00672659" w:rsidRPr="00EF6A82" w:rsidRDefault="00672659" w:rsidP="00B60B3B">
            <w:pPr>
              <w:jc w:val="both"/>
              <w:rPr>
                <w:b/>
                <w:bCs/>
                <w:sz w:val="24"/>
                <w:szCs w:val="24"/>
              </w:rPr>
            </w:pPr>
          </w:p>
        </w:tc>
        <w:tc>
          <w:tcPr>
            <w:tcW w:w="11264" w:type="dxa"/>
            <w:shd w:val="clear" w:color="auto" w:fill="auto"/>
          </w:tcPr>
          <w:p w:rsidR="00672659" w:rsidRPr="00EF6A82" w:rsidRDefault="00672659" w:rsidP="00483084">
            <w:pPr>
              <w:spacing w:line="240" w:lineRule="exact"/>
              <w:jc w:val="both"/>
              <w:rPr>
                <w:rFonts w:ascii="Arial" w:hAnsi="Arial"/>
                <w:b/>
                <w:bCs/>
                <w:sz w:val="24"/>
                <w:szCs w:val="24"/>
              </w:rPr>
            </w:pPr>
            <w:r w:rsidRPr="00EF6A82">
              <w:rPr>
                <w:rFonts w:ascii="Arial" w:hAnsi="Arial"/>
                <w:b/>
                <w:bCs/>
                <w:spacing w:val="-4"/>
                <w:sz w:val="24"/>
                <w:szCs w:val="24"/>
              </w:rPr>
              <w:t xml:space="preserve">Contracting Entity’s </w:t>
            </w:r>
            <w:r w:rsidRPr="00EF6A82">
              <w:rPr>
                <w:rFonts w:ascii="Arial" w:hAnsi="Arial"/>
                <w:b/>
                <w:bCs/>
                <w:sz w:val="24"/>
                <w:szCs w:val="24"/>
              </w:rPr>
              <w:t>Ministry of Health / The State Company For Marketing Drug and Medical Appliances (</w:t>
            </w:r>
            <w:proofErr w:type="spellStart"/>
            <w:r w:rsidRPr="00EF6A82">
              <w:rPr>
                <w:rFonts w:ascii="Arial" w:hAnsi="Arial"/>
                <w:b/>
                <w:bCs/>
                <w:sz w:val="24"/>
                <w:szCs w:val="24"/>
              </w:rPr>
              <w:t>kimadia</w:t>
            </w:r>
            <w:proofErr w:type="spellEnd"/>
            <w:r w:rsidRPr="00EF6A82">
              <w:rPr>
                <w:rFonts w:ascii="Arial" w:hAnsi="Arial"/>
                <w:b/>
                <w:bCs/>
                <w:sz w:val="24"/>
                <w:szCs w:val="24"/>
              </w:rPr>
              <w:t xml:space="preserve"> )/Drug Information &amp; the Public </w:t>
            </w:r>
            <w:proofErr w:type="spellStart"/>
            <w:r w:rsidRPr="00EF6A82">
              <w:rPr>
                <w:rFonts w:ascii="Arial" w:hAnsi="Arial"/>
                <w:b/>
                <w:bCs/>
                <w:sz w:val="24"/>
                <w:szCs w:val="24"/>
              </w:rPr>
              <w:t>RelationsDepartment</w:t>
            </w:r>
            <w:proofErr w:type="spellEnd"/>
            <w:r w:rsidRPr="00EF6A82">
              <w:rPr>
                <w:rFonts w:ascii="Arial" w:hAnsi="Arial"/>
                <w:b/>
                <w:bCs/>
                <w:sz w:val="24"/>
                <w:szCs w:val="24"/>
              </w:rPr>
              <w:t xml:space="preserve"> - 5</w:t>
            </w:r>
            <w:r w:rsidRPr="00EF6A82">
              <w:rPr>
                <w:rFonts w:ascii="Arial" w:hAnsi="Arial"/>
                <w:b/>
                <w:bCs/>
                <w:sz w:val="24"/>
                <w:szCs w:val="24"/>
                <w:vertAlign w:val="superscript"/>
              </w:rPr>
              <w:t>th</w:t>
            </w:r>
            <w:r w:rsidRPr="00EF6A82">
              <w:rPr>
                <w:rFonts w:ascii="Arial" w:hAnsi="Arial"/>
                <w:b/>
                <w:bCs/>
                <w:sz w:val="24"/>
                <w:szCs w:val="24"/>
              </w:rPr>
              <w:t xml:space="preserve"> floor ,position of MOH(Ministry of Health),E-mail (</w:t>
            </w:r>
            <w:hyperlink r:id="rId11" w:history="1">
              <w:r w:rsidRPr="00EF6A82">
                <w:rPr>
                  <w:rStyle w:val="Hyperlink"/>
                  <w:rFonts w:ascii="Arial" w:hAnsi="Arial"/>
                  <w:b/>
                  <w:bCs/>
                  <w:color w:val="auto"/>
                  <w:sz w:val="24"/>
                  <w:szCs w:val="24"/>
                </w:rPr>
                <w:t>dg@kimadia.iq</w:t>
              </w:r>
            </w:hyperlink>
            <w:r w:rsidRPr="00EF6A82">
              <w:rPr>
                <w:rFonts w:ascii="Arial" w:hAnsi="Arial"/>
                <w:b/>
                <w:bCs/>
                <w:sz w:val="24"/>
                <w:szCs w:val="24"/>
              </w:rPr>
              <w:t xml:space="preserve"> ) phone no.(07705419074) Requests for </w:t>
            </w:r>
            <w:r w:rsidRPr="00EF6A82">
              <w:rPr>
                <w:rFonts w:ascii="Arial" w:hAnsi="Arial"/>
                <w:b/>
                <w:bCs/>
                <w:sz w:val="24"/>
                <w:szCs w:val="24"/>
              </w:rPr>
              <w:lastRenderedPageBreak/>
              <w:t>Clarification are to be hand delivered or sent by mail or by express courier and  accepted by E-mail</w:t>
            </w:r>
          </w:p>
          <w:p w:rsidR="00672659" w:rsidRPr="00EF6A82" w:rsidRDefault="00672659" w:rsidP="00C9073B">
            <w:pPr>
              <w:spacing w:line="240" w:lineRule="exact"/>
              <w:jc w:val="both"/>
              <w:rPr>
                <w:rFonts w:ascii="Arial" w:hAnsi="Arial"/>
                <w:b/>
                <w:bCs/>
                <w:sz w:val="24"/>
                <w:szCs w:val="24"/>
                <w:lang w:val="en-GB"/>
              </w:rPr>
            </w:pPr>
            <w:r w:rsidRPr="00EF6A82">
              <w:rPr>
                <w:rFonts w:ascii="Arial" w:hAnsi="Arial"/>
                <w:b/>
                <w:bCs/>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EF6A82" w:rsidRDefault="00672659" w:rsidP="00C9073B">
            <w:pPr>
              <w:spacing w:line="240" w:lineRule="exact"/>
              <w:jc w:val="both"/>
              <w:rPr>
                <w:rFonts w:ascii="Arial" w:hAnsi="Arial"/>
                <w:b/>
                <w:bCs/>
                <w:sz w:val="24"/>
                <w:szCs w:val="24"/>
                <w:lang w:val="en-GB"/>
              </w:rPr>
            </w:pPr>
            <w:r w:rsidRPr="00EF6A82">
              <w:rPr>
                <w:rFonts w:ascii="Arial" w:hAnsi="Arial"/>
                <w:b/>
                <w:bCs/>
                <w:sz w:val="24"/>
                <w:szCs w:val="24"/>
                <w:lang w:val="en-GB"/>
              </w:rPr>
              <w:t>-additional to ITB :</w:t>
            </w:r>
          </w:p>
          <w:p w:rsidR="00672659" w:rsidRPr="00EF6A82" w:rsidRDefault="00672659" w:rsidP="00EF6A82">
            <w:pPr>
              <w:spacing w:line="240" w:lineRule="exact"/>
              <w:jc w:val="both"/>
              <w:rPr>
                <w:rFonts w:ascii="Arial" w:hAnsi="Arial"/>
                <w:b/>
                <w:bCs/>
                <w:sz w:val="24"/>
                <w:szCs w:val="24"/>
                <w:lang w:val="en-GB"/>
              </w:rPr>
            </w:pPr>
            <w:r w:rsidRPr="00EF6A82">
              <w:rPr>
                <w:rFonts w:ascii="Arial" w:hAnsi="Arial"/>
                <w:b/>
                <w:bCs/>
                <w:sz w:val="24"/>
                <w:szCs w:val="24"/>
                <w:lang w:val="en-GB"/>
              </w:rPr>
              <w:t xml:space="preserve">- Specifying the date of conference specialized to answer all the participants in the bid inquiries will be </w:t>
            </w:r>
            <w:proofErr w:type="gramStart"/>
            <w:r w:rsidRPr="00EF6A82">
              <w:rPr>
                <w:rFonts w:ascii="Arial" w:hAnsi="Arial"/>
                <w:b/>
                <w:bCs/>
                <w:sz w:val="24"/>
                <w:szCs w:val="24"/>
                <w:lang w:val="en-GB"/>
              </w:rPr>
              <w:t xml:space="preserve">on  </w:t>
            </w:r>
            <w:r w:rsidRPr="00EF6A82">
              <w:rPr>
                <w:rFonts w:ascii="Arial" w:hAnsi="Arial"/>
                <w:b/>
                <w:bCs/>
                <w:sz w:val="24"/>
                <w:szCs w:val="24"/>
                <w:highlight w:val="yellow"/>
                <w:lang w:val="en-GB"/>
              </w:rPr>
              <w:t>(</w:t>
            </w:r>
            <w:proofErr w:type="gramEnd"/>
            <w:r w:rsidR="00EF6A82">
              <w:rPr>
                <w:rFonts w:ascii="Arial" w:hAnsi="Arial"/>
                <w:b/>
                <w:bCs/>
                <w:sz w:val="24"/>
                <w:szCs w:val="24"/>
                <w:highlight w:val="yellow"/>
                <w:lang w:val="en-GB"/>
              </w:rPr>
              <w:t>10</w:t>
            </w:r>
            <w:r w:rsidRPr="00EF6A82">
              <w:rPr>
                <w:rFonts w:ascii="Arial" w:hAnsi="Arial"/>
                <w:b/>
                <w:bCs/>
                <w:sz w:val="24"/>
                <w:szCs w:val="24"/>
                <w:highlight w:val="yellow"/>
                <w:lang w:val="en-GB"/>
              </w:rPr>
              <w:t xml:space="preserve"> /  </w:t>
            </w:r>
            <w:r w:rsidR="00EF6A82">
              <w:rPr>
                <w:rFonts w:ascii="Arial" w:hAnsi="Arial"/>
                <w:b/>
                <w:bCs/>
                <w:sz w:val="24"/>
                <w:szCs w:val="24"/>
                <w:highlight w:val="yellow"/>
                <w:lang w:val="en-GB"/>
              </w:rPr>
              <w:t>5</w:t>
            </w:r>
            <w:r w:rsidRPr="00EF6A82">
              <w:rPr>
                <w:rFonts w:ascii="Arial" w:hAnsi="Arial"/>
                <w:b/>
                <w:bCs/>
                <w:sz w:val="24"/>
                <w:szCs w:val="24"/>
                <w:highlight w:val="yellow"/>
                <w:lang w:val="en-GB"/>
              </w:rPr>
              <w:t xml:space="preserve"> /</w:t>
            </w:r>
            <w:bookmarkStart w:id="52" w:name="_GoBack"/>
            <w:r w:rsidRPr="00EF6A82">
              <w:rPr>
                <w:rFonts w:ascii="Arial" w:hAnsi="Arial"/>
                <w:b/>
                <w:bCs/>
                <w:sz w:val="24"/>
                <w:szCs w:val="24"/>
                <w:highlight w:val="yellow"/>
                <w:lang w:val="en-GB"/>
              </w:rPr>
              <w:t>202</w:t>
            </w:r>
            <w:r w:rsidR="00126F30" w:rsidRPr="00EF6A82">
              <w:rPr>
                <w:rFonts w:ascii="Arial" w:hAnsi="Arial"/>
                <w:b/>
                <w:bCs/>
                <w:sz w:val="24"/>
                <w:szCs w:val="24"/>
                <w:highlight w:val="yellow"/>
                <w:lang w:val="en-GB"/>
              </w:rPr>
              <w:t>3</w:t>
            </w:r>
            <w:bookmarkEnd w:id="52"/>
            <w:r w:rsidRPr="00EF6A82">
              <w:rPr>
                <w:rFonts w:ascii="Arial" w:hAnsi="Arial"/>
                <w:b/>
                <w:bCs/>
                <w:sz w:val="24"/>
                <w:szCs w:val="24"/>
                <w:highlight w:val="yellow"/>
                <w:lang w:val="en-GB"/>
              </w:rPr>
              <w:t>)</w:t>
            </w:r>
            <w:r w:rsidRPr="00EF6A82">
              <w:rPr>
                <w:rFonts w:ascii="Arial" w:hAnsi="Arial"/>
                <w:b/>
                <w:bCs/>
                <w:sz w:val="24"/>
                <w:szCs w:val="24"/>
                <w:lang w:val="en-GB"/>
              </w:rPr>
              <w:t>.</w:t>
            </w:r>
          </w:p>
          <w:p w:rsidR="00672659" w:rsidRPr="00EF6A82" w:rsidRDefault="00672659" w:rsidP="00B60B3B">
            <w:pPr>
              <w:jc w:val="both"/>
              <w:rPr>
                <w:b/>
                <w:bCs/>
                <w:sz w:val="24"/>
                <w:szCs w:val="24"/>
                <w:lang w:val="en-GB"/>
              </w:rPr>
            </w:pPr>
          </w:p>
        </w:tc>
      </w:tr>
      <w:tr w:rsidR="00672659" w:rsidTr="004D22E1">
        <w:tc>
          <w:tcPr>
            <w:tcW w:w="12342" w:type="dxa"/>
            <w:gridSpan w:val="2"/>
            <w:shd w:val="clear" w:color="auto" w:fill="D9D9D9" w:themeFill="background1" w:themeFillShade="D9"/>
          </w:tcPr>
          <w:p w:rsidR="00672659" w:rsidRPr="00EF6A82" w:rsidRDefault="00672659" w:rsidP="00B60B3B">
            <w:pPr>
              <w:keepNext/>
              <w:keepLines/>
              <w:spacing w:before="480"/>
              <w:jc w:val="both"/>
              <w:outlineLvl w:val="0"/>
              <w:rPr>
                <w:rFonts w:ascii="Cambria" w:eastAsia="Times New Roman" w:hAnsi="Cambria" w:cs="Times New Roman"/>
                <w:b/>
                <w:bCs/>
                <w:sz w:val="24"/>
                <w:szCs w:val="24"/>
              </w:rPr>
            </w:pPr>
            <w:r w:rsidRPr="00EF6A82">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577A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577A3">
              <w:rPr>
                <w:rFonts w:ascii="Arial Narrow" w:eastAsia="Calibri" w:hAnsi="Arial Narrow" w:cs="Arial"/>
                <w:sz w:val="24"/>
                <w:szCs w:val="24"/>
                <w:highlight w:val="cyan"/>
              </w:rPr>
              <w:t>17</w:t>
            </w:r>
            <w:r w:rsidRPr="004D22E1">
              <w:rPr>
                <w:rFonts w:ascii="Arial Narrow" w:eastAsia="Calibri" w:hAnsi="Arial Narrow" w:cs="Arial"/>
                <w:sz w:val="24"/>
                <w:szCs w:val="24"/>
                <w:highlight w:val="cyan"/>
              </w:rPr>
              <w:t xml:space="preserve">  /  </w:t>
            </w:r>
            <w:r w:rsidR="00C577A3">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4F71E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577A3">
              <w:rPr>
                <w:rFonts w:ascii="Arial Narrow" w:eastAsia="Calibri" w:hAnsi="Arial Narrow" w:cs="Arial"/>
                <w:sz w:val="24"/>
                <w:szCs w:val="24"/>
              </w:rPr>
              <w:t xml:space="preserve"> </w:t>
            </w:r>
            <w:r w:rsidR="004F71E7">
              <w:rPr>
                <w:rFonts w:ascii="Arial Narrow" w:eastAsia="Calibri" w:hAnsi="Arial Narrow" w:cs="Arial"/>
                <w:sz w:val="24"/>
                <w:szCs w:val="24"/>
              </w:rPr>
              <w:t>14</w:t>
            </w:r>
            <w:r w:rsidRPr="004D22E1">
              <w:rPr>
                <w:rFonts w:ascii="Arial Narrow" w:eastAsia="Calibri" w:hAnsi="Arial Narrow" w:cs="Arial"/>
                <w:sz w:val="24"/>
                <w:szCs w:val="24"/>
                <w:highlight w:val="cyan"/>
              </w:rPr>
              <w:t xml:space="preserve">/ </w:t>
            </w:r>
            <w:r w:rsidR="00C577A3">
              <w:rPr>
                <w:rFonts w:ascii="Arial Narrow" w:eastAsia="Calibri" w:hAnsi="Arial Narrow" w:cs="Arial"/>
                <w:sz w:val="24"/>
                <w:szCs w:val="24"/>
                <w:highlight w:val="cyan"/>
              </w:rPr>
              <w:t xml:space="preserve">6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EF6A82">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F6A82">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EF6A82">
              <w:rPr>
                <w:rFonts w:ascii="Arial" w:hAnsi="Arial"/>
                <w:bCs/>
                <w:spacing w:val="-2"/>
                <w:sz w:val="24"/>
                <w:szCs w:val="24"/>
              </w:rPr>
              <w:t>Ab</w:t>
            </w:r>
          </w:p>
          <w:p w:rsidR="00672659" w:rsidRPr="004D22E1" w:rsidRDefault="00672659" w:rsidP="0016013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160134">
              <w:rPr>
                <w:rFonts w:ascii="Arial" w:hAnsi="Arial"/>
                <w:bCs/>
                <w:spacing w:val="-2"/>
                <w:sz w:val="24"/>
                <w:szCs w:val="24"/>
                <w:u w:val="single"/>
              </w:rPr>
              <w:t>1D</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EF6A8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F6A82">
              <w:rPr>
                <w:rFonts w:ascii="Arial" w:hAnsi="Arial"/>
                <w:sz w:val="24"/>
                <w:szCs w:val="24"/>
                <w:highlight w:val="yellow"/>
                <w:lang w:val="en-GB"/>
              </w:rPr>
              <w:t>17</w:t>
            </w:r>
            <w:r w:rsidRPr="008C600C">
              <w:rPr>
                <w:rFonts w:ascii="Arial" w:hAnsi="Arial"/>
                <w:sz w:val="24"/>
                <w:szCs w:val="24"/>
                <w:highlight w:val="yellow"/>
                <w:lang w:val="en-GB"/>
              </w:rPr>
              <w:t xml:space="preserve"> /    </w:t>
            </w:r>
            <w:r w:rsidR="00EF6A82">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F6A82">
            <w:pPr>
              <w:spacing w:line="240" w:lineRule="exact"/>
              <w:rPr>
                <w:rFonts w:ascii="Arial" w:hAnsi="Arial"/>
                <w:bCs/>
                <w:sz w:val="24"/>
                <w:szCs w:val="24"/>
                <w:lang w:val="en-GB"/>
              </w:rPr>
            </w:pPr>
            <w:r w:rsidRPr="004D22E1">
              <w:rPr>
                <w:rFonts w:ascii="Arial" w:hAnsi="Arial"/>
                <w:bCs/>
                <w:sz w:val="24"/>
                <w:szCs w:val="24"/>
                <w:lang w:val="en-GB"/>
              </w:rPr>
              <w:t xml:space="preserve">Date: [    </w:t>
            </w:r>
            <w:r w:rsidR="00EF6A82">
              <w:rPr>
                <w:rFonts w:ascii="Arial" w:hAnsi="Arial"/>
                <w:bCs/>
                <w:sz w:val="24"/>
                <w:szCs w:val="24"/>
              </w:rPr>
              <w:t>4</w:t>
            </w:r>
            <w:r w:rsidRPr="004D22E1">
              <w:rPr>
                <w:rFonts w:ascii="Arial" w:hAnsi="Arial"/>
                <w:bCs/>
                <w:sz w:val="24"/>
                <w:szCs w:val="24"/>
                <w:lang w:val="en-GB"/>
              </w:rPr>
              <w:t xml:space="preserve">–   </w:t>
            </w:r>
            <w:r w:rsidR="005D40E2">
              <w:rPr>
                <w:rFonts w:ascii="Arial" w:hAnsi="Arial"/>
                <w:bCs/>
                <w:sz w:val="24"/>
                <w:szCs w:val="24"/>
                <w:lang w:val="en-GB"/>
              </w:rPr>
              <w:t>5</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D0500" w:rsidRDefault="002D0500" w:rsidP="002D0500"/>
    <w:p w:rsidR="002D0500" w:rsidRDefault="002D0500" w:rsidP="002D0500"/>
    <w:p w:rsidR="002D0500" w:rsidRPr="002D0500" w:rsidRDefault="002D0500" w:rsidP="002D0500"/>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
        <w:gridCol w:w="549"/>
        <w:gridCol w:w="926"/>
        <w:gridCol w:w="691"/>
        <w:gridCol w:w="1261"/>
        <w:gridCol w:w="674"/>
        <w:gridCol w:w="357"/>
        <w:gridCol w:w="289"/>
        <w:gridCol w:w="632"/>
        <w:gridCol w:w="595"/>
        <w:gridCol w:w="517"/>
        <w:gridCol w:w="528"/>
        <w:gridCol w:w="573"/>
        <w:gridCol w:w="416"/>
        <w:gridCol w:w="371"/>
        <w:gridCol w:w="424"/>
        <w:gridCol w:w="444"/>
        <w:gridCol w:w="461"/>
        <w:gridCol w:w="371"/>
        <w:gridCol w:w="536"/>
        <w:gridCol w:w="592"/>
        <w:gridCol w:w="497"/>
        <w:gridCol w:w="477"/>
        <w:gridCol w:w="427"/>
        <w:gridCol w:w="489"/>
        <w:gridCol w:w="590"/>
      </w:tblGrid>
      <w:tr w:rsidR="00DE11BF" w:rsidRPr="00233B59" w:rsidTr="005C2108">
        <w:trPr>
          <w:trHeight w:val="1004"/>
        </w:trPr>
        <w:tc>
          <w:tcPr>
            <w:tcW w:w="32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495"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21"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37"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5C2108">
        <w:tc>
          <w:tcPr>
            <w:tcW w:w="32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68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21"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7"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5C2108" w:rsidRPr="00233B59" w:rsidTr="005C2108">
        <w:trPr>
          <w:trHeight w:val="1609"/>
        </w:trPr>
        <w:tc>
          <w:tcPr>
            <w:tcW w:w="126"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30"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4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4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4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7"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3"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8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2"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1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77"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C2108" w:rsidRPr="00233B59" w:rsidTr="005C2108">
        <w:tc>
          <w:tcPr>
            <w:tcW w:w="126" w:type="pct"/>
            <w:shd w:val="clear" w:color="auto" w:fill="auto"/>
          </w:tcPr>
          <w:p w:rsidR="00160134" w:rsidRPr="00D14D22" w:rsidRDefault="0016013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6"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rsidR="00160134" w:rsidRPr="00C6441A" w:rsidRDefault="00160134" w:rsidP="00073752"/>
        </w:tc>
        <w:tc>
          <w:tcPr>
            <w:tcW w:w="246" w:type="pct"/>
            <w:shd w:val="clear" w:color="auto" w:fill="auto"/>
            <w:vAlign w:val="bottom"/>
          </w:tcPr>
          <w:p w:rsidR="00160134" w:rsidRPr="00614F84" w:rsidRDefault="005C2108" w:rsidP="00D36B35">
            <w:pPr>
              <w:jc w:val="center"/>
              <w:rPr>
                <w:rFonts w:ascii="Cambria" w:eastAsia="Times New Roman" w:hAnsi="Cambria" w:cs="Times New Roman"/>
                <w:color w:val="000000"/>
                <w:sz w:val="20"/>
                <w:szCs w:val="20"/>
              </w:rPr>
            </w:pPr>
            <w:r w:rsidRPr="005C2108">
              <w:rPr>
                <w:rFonts w:ascii="Cambria" w:eastAsia="Times New Roman" w:hAnsi="Cambria" w:cs="Times New Roman"/>
                <w:color w:val="000000"/>
                <w:sz w:val="20"/>
                <w:szCs w:val="20"/>
              </w:rPr>
              <w:t>14-AD0-029</w:t>
            </w:r>
          </w:p>
        </w:tc>
        <w:tc>
          <w:tcPr>
            <w:tcW w:w="449" w:type="pct"/>
            <w:shd w:val="clear" w:color="auto" w:fill="auto"/>
            <w:vAlign w:val="bottom"/>
          </w:tcPr>
          <w:p w:rsidR="00160134" w:rsidRPr="00614F84" w:rsidRDefault="005C2108" w:rsidP="00F359AA">
            <w:pPr>
              <w:jc w:val="center"/>
              <w:rPr>
                <w:rFonts w:ascii="Cambria" w:eastAsia="Times New Roman" w:hAnsi="Cambria" w:cs="Times New Roman"/>
                <w:color w:val="000000"/>
              </w:rPr>
            </w:pPr>
            <w:r w:rsidRPr="005C2108">
              <w:rPr>
                <w:rFonts w:ascii="Cambria" w:eastAsia="Times New Roman" w:hAnsi="Cambria" w:cs="Times New Roman"/>
                <w:color w:val="000000"/>
              </w:rPr>
              <w:t>Fentanyl (as citrate)50mcg/ml ( 2ml) Ampoule</w:t>
            </w:r>
          </w:p>
        </w:tc>
        <w:tc>
          <w:tcPr>
            <w:tcW w:w="240" w:type="pct"/>
            <w:shd w:val="clear" w:color="auto" w:fill="auto"/>
            <w:vAlign w:val="center"/>
          </w:tcPr>
          <w:p w:rsidR="00160134" w:rsidRPr="00F04CA9" w:rsidRDefault="00160134" w:rsidP="00073752">
            <w:pPr>
              <w:spacing w:after="0" w:line="240" w:lineRule="auto"/>
              <w:rPr>
                <w:rFonts w:eastAsia="Times New Roman" w:cs="Calibri"/>
                <w:color w:val="000000"/>
              </w:rPr>
            </w:pPr>
          </w:p>
        </w:tc>
        <w:tc>
          <w:tcPr>
            <w:tcW w:w="127" w:type="pct"/>
            <w:shd w:val="clear" w:color="auto" w:fill="auto"/>
            <w:vAlign w:val="center"/>
          </w:tcPr>
          <w:p w:rsidR="00160134" w:rsidRDefault="00160134" w:rsidP="00073752">
            <w:pPr>
              <w:rPr>
                <w:rFonts w:cs="Calibri"/>
                <w:color w:val="000000"/>
              </w:rPr>
            </w:pPr>
          </w:p>
        </w:tc>
        <w:tc>
          <w:tcPr>
            <w:tcW w:w="103" w:type="pct"/>
            <w:shd w:val="clear" w:color="auto" w:fill="auto"/>
            <w:vAlign w:val="bottom"/>
          </w:tcPr>
          <w:p w:rsidR="00160134" w:rsidRDefault="00160134" w:rsidP="00073752">
            <w:pPr>
              <w:rPr>
                <w:rFonts w:cs="Calibri"/>
                <w:color w:val="000000"/>
                <w:sz w:val="16"/>
                <w:szCs w:val="16"/>
              </w:rPr>
            </w:pPr>
          </w:p>
        </w:tc>
        <w:tc>
          <w:tcPr>
            <w:tcW w:w="225" w:type="pct"/>
            <w:shd w:val="clear" w:color="auto" w:fill="auto"/>
            <w:vAlign w:val="bottom"/>
          </w:tcPr>
          <w:p w:rsidR="00160134" w:rsidRDefault="00160134" w:rsidP="00073752">
            <w:pPr>
              <w:rPr>
                <w:rFonts w:cs="Calibri"/>
                <w:color w:val="000000"/>
                <w:sz w:val="16"/>
                <w:szCs w:val="16"/>
              </w:rPr>
            </w:pPr>
          </w:p>
        </w:tc>
        <w:tc>
          <w:tcPr>
            <w:tcW w:w="212" w:type="pct"/>
            <w:shd w:val="clear" w:color="auto" w:fill="auto"/>
            <w:vAlign w:val="bottom"/>
          </w:tcPr>
          <w:p w:rsidR="00160134" w:rsidRDefault="00160134" w:rsidP="00073752">
            <w:pPr>
              <w:rPr>
                <w:rFonts w:cs="Calibri"/>
                <w:color w:val="000000"/>
                <w:sz w:val="16"/>
                <w:szCs w:val="16"/>
              </w:rPr>
            </w:pPr>
          </w:p>
        </w:tc>
        <w:tc>
          <w:tcPr>
            <w:tcW w:w="184" w:type="pct"/>
            <w:shd w:val="clear" w:color="auto" w:fill="auto"/>
            <w:vAlign w:val="bottom"/>
          </w:tcPr>
          <w:p w:rsidR="00160134" w:rsidRDefault="00160134" w:rsidP="00073752">
            <w:pPr>
              <w:rPr>
                <w:rFonts w:cs="Calibri"/>
                <w:color w:val="000000"/>
                <w:sz w:val="16"/>
                <w:szCs w:val="16"/>
              </w:rPr>
            </w:pPr>
          </w:p>
        </w:tc>
        <w:tc>
          <w:tcPr>
            <w:tcW w:w="188"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rsidR="00160134"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rsidR="00160134" w:rsidRPr="00233B59" w:rsidRDefault="0016013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rsidR="00160134" w:rsidRPr="005F17BD" w:rsidRDefault="0016013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rsidR="00160134"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rsidR="00160134" w:rsidRDefault="0016013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rsidR="00160134" w:rsidRPr="005F17BD" w:rsidRDefault="0016013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rsidR="00160134" w:rsidRPr="00233B59"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rsidR="00160134" w:rsidRDefault="0016013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5C2108" w:rsidRDefault="005C2108" w:rsidP="005C2108">
      <w:pPr>
        <w:tabs>
          <w:tab w:val="right" w:pos="15336"/>
        </w:tabs>
        <w:bidi/>
        <w:ind w:right="-900"/>
        <w:rPr>
          <w:rFonts w:ascii="Arial Narrow" w:hAnsi="Arial Narrow"/>
          <w:sz w:val="20"/>
          <w:rtl/>
          <w:lang w:bidi="ar-IQ"/>
        </w:rPr>
      </w:pPr>
      <w:r>
        <w:rPr>
          <w:rFonts w:ascii="Arial Narrow" w:hAnsi="Arial Narrow" w:hint="cs"/>
          <w:sz w:val="20"/>
          <w:rtl/>
          <w:lang w:bidi="ar-IQ"/>
        </w:rPr>
        <w:t>\</w:t>
      </w:r>
    </w:p>
    <w:p w:rsidR="005C2108" w:rsidRDefault="005C2108" w:rsidP="005C2108">
      <w:pPr>
        <w:tabs>
          <w:tab w:val="right" w:pos="15336"/>
        </w:tabs>
        <w:bidi/>
        <w:ind w:right="-900"/>
        <w:rPr>
          <w:rFonts w:ascii="Arial Narrow" w:hAnsi="Arial Narrow"/>
          <w:sz w:val="20"/>
          <w:rtl/>
          <w:lang w:bidi="ar-IQ"/>
        </w:rPr>
      </w:pPr>
    </w:p>
    <w:p w:rsidR="005C2108" w:rsidRDefault="005C2108" w:rsidP="005C2108">
      <w:pPr>
        <w:tabs>
          <w:tab w:val="right" w:pos="15336"/>
        </w:tabs>
        <w:bidi/>
        <w:ind w:right="-900"/>
        <w:rPr>
          <w:rFonts w:ascii="Arial Narrow" w:hAnsi="Arial Narrow"/>
          <w:sz w:val="20"/>
          <w:rtl/>
          <w:lang w:bidi="ar-IQ"/>
        </w:rPr>
      </w:pPr>
    </w:p>
    <w:p w:rsidR="005C2108" w:rsidRPr="005C2108" w:rsidRDefault="00463221" w:rsidP="005C2108">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r w:rsidR="005C2108">
        <w:t>\</w:t>
      </w:r>
    </w:p>
    <w:p w:rsidR="005C2108" w:rsidRPr="005C2108" w:rsidRDefault="005C2108" w:rsidP="005C2108"/>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890" w:rsidRDefault="00A34890" w:rsidP="00400881">
      <w:pPr>
        <w:spacing w:after="0" w:line="240" w:lineRule="auto"/>
      </w:pPr>
      <w:r>
        <w:separator/>
      </w:r>
    </w:p>
  </w:endnote>
  <w:endnote w:type="continuationSeparator" w:id="0">
    <w:p w:rsidR="00A34890" w:rsidRDefault="00A3489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F6A82" w:rsidRPr="00D1391E" w:rsidRDefault="00EF6A8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D0500">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890" w:rsidRDefault="00A34890" w:rsidP="00400881">
      <w:pPr>
        <w:spacing w:after="0" w:line="240" w:lineRule="auto"/>
      </w:pPr>
      <w:r>
        <w:separator/>
      </w:r>
    </w:p>
  </w:footnote>
  <w:footnote w:type="continuationSeparator" w:id="0">
    <w:p w:rsidR="00A34890" w:rsidRDefault="00A34890" w:rsidP="00400881">
      <w:pPr>
        <w:spacing w:after="0" w:line="240" w:lineRule="auto"/>
      </w:pPr>
      <w:r>
        <w:continuationSeparator/>
      </w:r>
    </w:p>
  </w:footnote>
  <w:footnote w:id="1">
    <w:p w:rsidR="00EF6A82" w:rsidRDefault="00EF6A8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F6A82" w:rsidRDefault="00EF6A8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F6A82" w:rsidRDefault="00EF6A8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82" w:rsidRDefault="00EF6A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F6A82" w:rsidRDefault="00EF6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82" w:rsidRDefault="00EF6A8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0500"/>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1E7"/>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2108"/>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D3F3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4890"/>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577A3"/>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EF6A82"/>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A2DE5-2752-41EF-8B04-E263C758C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130</Pages>
  <Words>35301</Words>
  <Characters>201220</Characters>
  <Application>Microsoft Office Word</Application>
  <DocSecurity>0</DocSecurity>
  <Lines>1676</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95</cp:revision>
  <cp:lastPrinted>2022-01-19T07:17:00Z</cp:lastPrinted>
  <dcterms:created xsi:type="dcterms:W3CDTF">2022-01-13T10:10:00Z</dcterms:created>
  <dcterms:modified xsi:type="dcterms:W3CDTF">2023-05-02T08:39:00Z</dcterms:modified>
</cp:coreProperties>
</file>