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E41BC5">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4B0BAD">
        <w:rPr>
          <w:rFonts w:asciiTheme="minorBidi" w:hAnsiTheme="minorBidi"/>
          <w:sz w:val="32"/>
          <w:szCs w:val="32"/>
        </w:rPr>
        <w:t>87/2023/</w:t>
      </w:r>
      <w:r w:rsidR="00E41BC5">
        <w:rPr>
          <w:rFonts w:asciiTheme="minorBidi" w:hAnsiTheme="minorBidi"/>
          <w:sz w:val="32"/>
          <w:szCs w:val="32"/>
        </w:rPr>
        <w:t>87</w:t>
      </w:r>
    </w:p>
    <w:p w:rsidR="00F82947" w:rsidRPr="00C84D0C" w:rsidRDefault="00F82947" w:rsidP="00E41BC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E41BC5">
        <w:rPr>
          <w:rFonts w:asciiTheme="minorBidi" w:hAnsiTheme="minorBidi"/>
          <w:sz w:val="32"/>
          <w:szCs w:val="32"/>
        </w:rPr>
        <w:t>5</w:t>
      </w:r>
      <w:r w:rsidR="00DE6F40">
        <w:rPr>
          <w:rFonts w:asciiTheme="minorBidi" w:hAnsiTheme="minorBidi"/>
          <w:sz w:val="32"/>
          <w:szCs w:val="32"/>
        </w:rPr>
        <w:t>/</w:t>
      </w:r>
      <w:r w:rsidR="00E41BC5">
        <w:rPr>
          <w:rFonts w:asciiTheme="minorBidi" w:hAnsiTheme="minorBidi"/>
          <w:sz w:val="32"/>
          <w:szCs w:val="32"/>
        </w:rPr>
        <w:t>6</w:t>
      </w:r>
      <w:r w:rsidR="00DE6F40">
        <w:rPr>
          <w:rFonts w:asciiTheme="minorBidi" w:hAnsiTheme="minorBidi"/>
          <w:sz w:val="32"/>
          <w:szCs w:val="32"/>
        </w:rPr>
        <w:t>/</w:t>
      </w:r>
      <w:r w:rsidR="004B0BAD">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E41BC5">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4B0BAD">
        <w:rPr>
          <w:rFonts w:asciiTheme="minorBidi" w:hAnsiTheme="minorBidi"/>
          <w:sz w:val="32"/>
          <w:szCs w:val="32"/>
          <w:highlight w:val="yellow"/>
        </w:rPr>
        <w:t>87</w:t>
      </w:r>
      <w:r w:rsidR="00DE6F40">
        <w:rPr>
          <w:rFonts w:asciiTheme="minorBidi" w:hAnsiTheme="minorBidi"/>
          <w:sz w:val="32"/>
          <w:szCs w:val="32"/>
          <w:highlight w:val="yellow"/>
        </w:rPr>
        <w:t>/</w:t>
      </w:r>
      <w:r w:rsidR="004B0BAD">
        <w:rPr>
          <w:rFonts w:asciiTheme="minorBidi" w:hAnsiTheme="minorBidi"/>
          <w:sz w:val="32"/>
          <w:szCs w:val="32"/>
          <w:highlight w:val="yellow"/>
        </w:rPr>
        <w:t>2023/</w:t>
      </w:r>
      <w:r w:rsidR="00E41BC5">
        <w:rPr>
          <w:rFonts w:asciiTheme="minorBidi" w:hAnsiTheme="minorBidi"/>
          <w:sz w:val="32"/>
          <w:szCs w:val="32"/>
          <w:highlight w:val="yellow"/>
        </w:rPr>
        <w:t>87</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4B0BAD">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4B0BAD">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38162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38162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38162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381622">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36161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4B0BAD">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B0BAD">
        <w:rPr>
          <w:rFonts w:asciiTheme="minorBidi" w:eastAsiaTheme="minorHAnsi" w:hAnsiTheme="minorBidi" w:cstheme="minorBidi"/>
          <w:sz w:val="28"/>
          <w:szCs w:val="28"/>
        </w:rPr>
        <w:t xml:space="preserve"> </w:t>
      </w:r>
      <w:r w:rsidR="00E41BC5">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/202</w:t>
      </w:r>
      <w:r w:rsidR="004B0BAD">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38162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38162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41BC5">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B0BAD">
              <w:rPr>
                <w:rFonts w:asciiTheme="minorBidi" w:hAnsiTheme="minorBidi"/>
                <w:b/>
                <w:bCs/>
                <w:sz w:val="28"/>
                <w:szCs w:val="28"/>
                <w:shd w:val="clear" w:color="auto" w:fill="FFFF00"/>
                <w:lang w:val="en-GB"/>
              </w:rPr>
              <w:t>87</w:t>
            </w:r>
            <w:r w:rsidR="00DE6F40">
              <w:rPr>
                <w:rFonts w:asciiTheme="minorBidi" w:hAnsiTheme="minorBidi"/>
                <w:b/>
                <w:bCs/>
                <w:sz w:val="28"/>
                <w:szCs w:val="28"/>
                <w:shd w:val="clear" w:color="auto" w:fill="FFFF00"/>
                <w:lang w:val="en-GB"/>
              </w:rPr>
              <w:t>/</w:t>
            </w:r>
            <w:r w:rsidR="004B0BAD">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41BC5">
              <w:rPr>
                <w:rFonts w:asciiTheme="minorBidi" w:hAnsiTheme="minorBidi"/>
                <w:b/>
                <w:bCs/>
                <w:sz w:val="28"/>
                <w:szCs w:val="28"/>
                <w:shd w:val="clear" w:color="auto" w:fill="FFFF00"/>
                <w:lang w:val="en-GB"/>
              </w:rPr>
              <w:t>87</w:t>
            </w:r>
            <w:r w:rsidR="004B0BAD">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41BC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41BC5">
              <w:rPr>
                <w:rFonts w:asciiTheme="minorBidi" w:hAnsiTheme="minorBidi"/>
                <w:b/>
                <w:bCs/>
                <w:sz w:val="28"/>
                <w:szCs w:val="28"/>
                <w:shd w:val="clear" w:color="auto" w:fill="FFFF00"/>
                <w:lang w:val="en-GB"/>
              </w:rPr>
              <w:t>27</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Default="00C20C3C" w:rsidP="00C36783">
            <w:pPr>
              <w:spacing w:after="0"/>
              <w:contextualSpacing/>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4B0BAD" w:rsidRPr="00C20C3C" w:rsidRDefault="004B0BAD" w:rsidP="00C36783">
            <w:pPr>
              <w:spacing w:after="0"/>
              <w:contextualSpacing/>
              <w:jc w:val="both"/>
              <w:rPr>
                <w:rFonts w:asciiTheme="majorBidi" w:hAnsiTheme="majorBidi" w:cstheme="majorBidi"/>
                <w:b/>
                <w:bCs/>
                <w:sz w:val="28"/>
                <w:szCs w:val="28"/>
                <w:highlight w:val="yellow"/>
              </w:rPr>
            </w:pP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41BC5">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41BC5">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E41BC5">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E41BC5">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41BC5">
              <w:rPr>
                <w:rFonts w:asciiTheme="minorBidi" w:hAnsiTheme="minorBidi"/>
                <w:sz w:val="28"/>
                <w:szCs w:val="28"/>
                <w:shd w:val="clear" w:color="auto" w:fill="FFFF00"/>
                <w:lang w:val="en-GB"/>
              </w:rPr>
              <w:t>31</w:t>
            </w:r>
            <w:r w:rsidR="00DE6F40">
              <w:rPr>
                <w:rFonts w:asciiTheme="minorBidi" w:hAnsiTheme="minorBidi"/>
                <w:sz w:val="28"/>
                <w:szCs w:val="28"/>
                <w:shd w:val="clear" w:color="auto" w:fill="FFFF00"/>
                <w:lang w:val="en-GB"/>
              </w:rPr>
              <w:t>/</w:t>
            </w:r>
            <w:r w:rsidR="000505B6">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0505B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505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505B6">
              <w:rPr>
                <w:rFonts w:asciiTheme="minorBidi" w:hAnsiTheme="minorBidi"/>
                <w:sz w:val="28"/>
                <w:szCs w:val="28"/>
                <w:lang w:val="en-GB"/>
              </w:rPr>
              <w:t>87</w:t>
            </w:r>
            <w:r w:rsidR="00DE6F40">
              <w:rPr>
                <w:rFonts w:asciiTheme="minorBidi" w:hAnsiTheme="minorBidi"/>
                <w:sz w:val="28"/>
                <w:szCs w:val="28"/>
                <w:lang w:val="en-GB"/>
              </w:rPr>
              <w:t>/</w:t>
            </w:r>
            <w:r w:rsidR="000505B6">
              <w:rPr>
                <w:rFonts w:asciiTheme="minorBidi" w:hAnsiTheme="minorBidi"/>
                <w:sz w:val="28"/>
                <w:szCs w:val="28"/>
                <w:lang w:val="en-GB"/>
              </w:rPr>
              <w:t>2023</w:t>
            </w:r>
            <w:r w:rsidR="00DE6F40">
              <w:rPr>
                <w:rFonts w:asciiTheme="minorBidi" w:hAnsiTheme="minorBidi"/>
                <w:sz w:val="28"/>
                <w:szCs w:val="28"/>
                <w:lang w:val="en-GB"/>
              </w:rPr>
              <w:t>/</w:t>
            </w:r>
            <w:r w:rsidR="000505B6">
              <w:rPr>
                <w:rFonts w:asciiTheme="minorBidi" w:hAnsiTheme="minorBidi"/>
                <w:sz w:val="28"/>
                <w:szCs w:val="28"/>
                <w:lang w:val="en-GB"/>
              </w:rPr>
              <w:t>49</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0505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505B6">
              <w:rPr>
                <w:rFonts w:asciiTheme="majorHAnsi" w:hAnsiTheme="majorHAnsi"/>
                <w:b/>
                <w:bCs/>
              </w:rPr>
              <w:t xml:space="preserve">cardiac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0505B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0505B6">
              <w:rPr>
                <w:rFonts w:asciiTheme="minorBidi" w:hAnsiTheme="minorBidi"/>
                <w:sz w:val="28"/>
                <w:szCs w:val="28"/>
              </w:rPr>
              <w:t>27</w:t>
            </w:r>
            <w:r w:rsidR="00F937EA">
              <w:rPr>
                <w:rFonts w:asciiTheme="minorBidi" w:hAnsiTheme="minorBidi"/>
                <w:sz w:val="28"/>
                <w:szCs w:val="28"/>
              </w:rPr>
              <w:t>/</w:t>
            </w:r>
            <w:r w:rsidR="000505B6">
              <w:rPr>
                <w:rFonts w:asciiTheme="minorBidi" w:hAnsiTheme="minorBidi"/>
                <w:sz w:val="28"/>
                <w:szCs w:val="28"/>
              </w:rPr>
              <w:t>6</w:t>
            </w:r>
            <w:r w:rsidR="00F937EA">
              <w:rPr>
                <w:rFonts w:asciiTheme="minorBidi" w:hAnsiTheme="minorBidi"/>
                <w:sz w:val="28"/>
                <w:szCs w:val="28"/>
              </w:rPr>
              <w:t>/</w:t>
            </w:r>
            <w:r w:rsidR="000505B6">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0505B6">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0505B6">
              <w:rPr>
                <w:rFonts w:asciiTheme="minorBidi" w:hAnsiTheme="minorBidi"/>
                <w:sz w:val="28"/>
                <w:szCs w:val="28"/>
                <w:lang w:val="en-GB"/>
              </w:rPr>
              <w:t xml:space="preserve">  28/6/2023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38162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38162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38162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3816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3816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6A1580" w:rsidRDefault="006A1580" w:rsidP="002F3DD3"/>
    <w:p w:rsidR="006A1580" w:rsidRDefault="006A1580" w:rsidP="002F3DD3"/>
    <w:p w:rsidR="006A1580" w:rsidRDefault="006A1580"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Pr="002B747E" w:rsidRDefault="002F3DD3" w:rsidP="006A1580">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6A1580" w:rsidRDefault="006A1580" w:rsidP="006A1580">
      <w:pPr>
        <w:tabs>
          <w:tab w:val="left" w:pos="3818"/>
        </w:tabs>
        <w:rPr>
          <w:szCs w:val="24"/>
        </w:rPr>
      </w:pPr>
      <w:r>
        <w:rPr>
          <w:szCs w:val="24"/>
        </w:rPr>
        <w:tab/>
      </w:r>
    </w:p>
    <w:p w:rsidR="006A1580" w:rsidRDefault="006A1580" w:rsidP="006A1580">
      <w:pPr>
        <w:tabs>
          <w:tab w:val="left" w:pos="3818"/>
        </w:tabs>
        <w:rPr>
          <w:szCs w:val="24"/>
        </w:rPr>
      </w:pPr>
    </w:p>
    <w:p w:rsidR="006A1580" w:rsidRDefault="006A1580" w:rsidP="006A1580">
      <w:pPr>
        <w:tabs>
          <w:tab w:val="left" w:pos="3818"/>
        </w:tabs>
        <w:rPr>
          <w:szCs w:val="24"/>
        </w:rPr>
      </w:pPr>
    </w:p>
    <w:p w:rsidR="006A1580" w:rsidRDefault="006A1580" w:rsidP="006A1580">
      <w:pPr>
        <w:tabs>
          <w:tab w:val="left" w:pos="3818"/>
        </w:tabs>
        <w:rPr>
          <w:szCs w:val="24"/>
        </w:rPr>
      </w:pPr>
    </w:p>
    <w:p w:rsidR="006A1580" w:rsidRDefault="006A1580" w:rsidP="006A1580">
      <w:pPr>
        <w:tabs>
          <w:tab w:val="left" w:pos="3818"/>
        </w:tabs>
        <w:rPr>
          <w:szCs w:val="24"/>
        </w:rPr>
      </w:pPr>
    </w:p>
    <w:p w:rsidR="006A1580" w:rsidRDefault="006A1580" w:rsidP="006A1580">
      <w:pPr>
        <w:tabs>
          <w:tab w:val="left" w:pos="3818"/>
        </w:tabs>
        <w:rPr>
          <w:szCs w:val="24"/>
        </w:rPr>
      </w:pPr>
    </w:p>
    <w:p w:rsidR="006A1580" w:rsidRDefault="006A1580" w:rsidP="006A1580">
      <w:pPr>
        <w:tabs>
          <w:tab w:val="left" w:pos="3818"/>
        </w:tabs>
        <w:rPr>
          <w:szCs w:val="24"/>
        </w:rPr>
      </w:pPr>
    </w:p>
    <w:p w:rsidR="006A1580" w:rsidRDefault="006A1580" w:rsidP="006A1580">
      <w:pPr>
        <w:tabs>
          <w:tab w:val="left" w:pos="3818"/>
        </w:tabs>
        <w:rPr>
          <w:szCs w:val="24"/>
        </w:rPr>
      </w:pPr>
    </w:p>
    <w:p w:rsidR="00851780" w:rsidRPr="008C6B06" w:rsidRDefault="00851780" w:rsidP="00851780">
      <w:pPr>
        <w:jc w:val="center"/>
        <w:rPr>
          <w:rFonts w:asciiTheme="majorBidi" w:hAnsiTheme="majorBidi" w:cstheme="majorBidi"/>
          <w:sz w:val="28"/>
          <w:szCs w:val="28"/>
          <w:u w:val="single"/>
          <w:rtl/>
          <w:lang w:bidi="ar-EG"/>
        </w:rPr>
      </w:pPr>
      <w:bookmarkStart w:id="136" w:name="_Toc327105411"/>
    </w:p>
    <w:p w:rsidR="00851780" w:rsidRPr="00F23EAF" w:rsidRDefault="00851780" w:rsidP="006A1580">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6A1580">
      <w:pPr>
        <w:jc w:val="center"/>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E41BC5" w:rsidRDefault="00E41BC5" w:rsidP="00E41BC5"/>
    <w:p w:rsidR="006A1580" w:rsidRDefault="006A1580" w:rsidP="006A1580">
      <w:pPr>
        <w:tabs>
          <w:tab w:val="left" w:pos="5107"/>
          <w:tab w:val="left" w:pos="6413"/>
        </w:tabs>
      </w:pPr>
      <w:r>
        <w:tab/>
      </w:r>
    </w:p>
    <w:p w:rsidR="006A1580" w:rsidRDefault="006A1580" w:rsidP="006A1580">
      <w:pPr>
        <w:tabs>
          <w:tab w:val="left" w:pos="5107"/>
          <w:tab w:val="left" w:pos="6413"/>
        </w:tabs>
      </w:pPr>
      <w:r>
        <w:tab/>
      </w:r>
    </w:p>
    <w:p w:rsidR="006A1580" w:rsidRDefault="006A1580" w:rsidP="006A1580">
      <w:pPr>
        <w:tabs>
          <w:tab w:val="left" w:pos="6413"/>
        </w:tabs>
      </w:pPr>
    </w:p>
    <w:p w:rsidR="006A1580" w:rsidRDefault="006A1580" w:rsidP="006A1580">
      <w:pPr>
        <w:tabs>
          <w:tab w:val="left" w:pos="6413"/>
        </w:tabs>
        <w:jc w:val="center"/>
      </w:pPr>
    </w:p>
    <w:p w:rsidR="006A1580" w:rsidRDefault="006A1580" w:rsidP="006A1580">
      <w:pPr>
        <w:tabs>
          <w:tab w:val="left" w:pos="6413"/>
        </w:tabs>
      </w:pPr>
    </w:p>
    <w:p w:rsidR="006A1580" w:rsidRDefault="006A1580" w:rsidP="00E41BC5"/>
    <w:p w:rsidR="006A1580" w:rsidRDefault="006A1580" w:rsidP="00E41BC5"/>
    <w:p w:rsidR="006A1580" w:rsidRDefault="006A1580" w:rsidP="00E41BC5"/>
    <w:p w:rsidR="006A1580" w:rsidRDefault="006A1580" w:rsidP="00E41BC5"/>
    <w:tbl>
      <w:tblPr>
        <w:tblpPr w:leftFromText="180" w:rightFromText="180" w:bottomFromText="160" w:vertAnchor="page" w:horzAnchor="margin" w:tblpX="-252" w:tblpY="3080"/>
        <w:tblW w:w="10368" w:type="dxa"/>
        <w:tblLook w:val="04A0" w:firstRow="1" w:lastRow="0" w:firstColumn="1" w:lastColumn="0" w:noHBand="0" w:noVBand="1"/>
      </w:tblPr>
      <w:tblGrid>
        <w:gridCol w:w="648"/>
        <w:gridCol w:w="2160"/>
        <w:gridCol w:w="3545"/>
        <w:gridCol w:w="1405"/>
        <w:gridCol w:w="1350"/>
        <w:gridCol w:w="1260"/>
      </w:tblGrid>
      <w:tr w:rsidR="006A1580" w:rsidRPr="003138BF" w:rsidTr="00D9322E">
        <w:trPr>
          <w:trHeight w:val="615"/>
        </w:trPr>
        <w:tc>
          <w:tcPr>
            <w:tcW w:w="648" w:type="dxa"/>
            <w:tcBorders>
              <w:top w:val="single" w:sz="4" w:space="0" w:color="auto"/>
              <w:left w:val="single" w:sz="4" w:space="0" w:color="auto"/>
              <w:bottom w:val="single" w:sz="4" w:space="0" w:color="auto"/>
              <w:right w:val="single" w:sz="4" w:space="0" w:color="auto"/>
            </w:tcBorders>
            <w:shd w:val="clear" w:color="auto" w:fill="9CC2E5"/>
            <w:hideMark/>
          </w:tcPr>
          <w:p w:rsidR="006A1580" w:rsidRPr="003138BF" w:rsidRDefault="006A1580" w:rsidP="00085790">
            <w:pPr>
              <w:spacing w:after="0" w:line="240" w:lineRule="auto"/>
              <w:ind w:right="-18"/>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lastRenderedPageBreak/>
              <w:t>NO.</w:t>
            </w:r>
          </w:p>
        </w:tc>
        <w:tc>
          <w:tcPr>
            <w:tcW w:w="2160" w:type="dxa"/>
            <w:tcBorders>
              <w:top w:val="single" w:sz="4" w:space="0" w:color="auto"/>
              <w:left w:val="single" w:sz="4" w:space="0" w:color="auto"/>
              <w:bottom w:val="single" w:sz="4" w:space="0" w:color="auto"/>
              <w:right w:val="single" w:sz="4" w:space="0" w:color="auto"/>
            </w:tcBorders>
            <w:shd w:val="clear" w:color="auto" w:fill="9CC2E5"/>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 xml:space="preserve">National Code </w:t>
            </w:r>
          </w:p>
        </w:tc>
        <w:tc>
          <w:tcPr>
            <w:tcW w:w="3545" w:type="dxa"/>
            <w:tcBorders>
              <w:top w:val="single" w:sz="4" w:space="0" w:color="auto"/>
              <w:left w:val="nil"/>
              <w:bottom w:val="single" w:sz="4" w:space="0" w:color="auto"/>
              <w:right w:val="single" w:sz="4" w:space="0" w:color="auto"/>
            </w:tcBorders>
            <w:shd w:val="clear" w:color="auto" w:fill="9CC2E5"/>
            <w:hideMark/>
          </w:tcPr>
          <w:p w:rsidR="006A1580" w:rsidRPr="003138BF" w:rsidRDefault="006A1580" w:rsidP="00085790">
            <w:pPr>
              <w:bidi/>
              <w:spacing w:after="0" w:line="240" w:lineRule="auto"/>
              <w:jc w:val="center"/>
              <w:rPr>
                <w:rFonts w:ascii="Times New Roman" w:eastAsia="Times New Roman" w:hAnsi="Times New Roman" w:cs="Times New Roman"/>
                <w:b/>
                <w:bCs/>
                <w:sz w:val="24"/>
                <w:szCs w:val="24"/>
              </w:rPr>
            </w:pPr>
            <w:r>
              <w:rPr>
                <w:rFonts w:asciiTheme="majorHAnsi" w:hAnsiTheme="majorHAnsi"/>
                <w:b/>
                <w:bCs/>
              </w:rPr>
              <w:t>Cardiac  Appliances</w:t>
            </w:r>
          </w:p>
        </w:tc>
        <w:tc>
          <w:tcPr>
            <w:tcW w:w="1405" w:type="dxa"/>
            <w:tcBorders>
              <w:top w:val="single" w:sz="4" w:space="0" w:color="auto"/>
              <w:left w:val="nil"/>
              <w:bottom w:val="single" w:sz="4" w:space="0" w:color="auto"/>
              <w:right w:val="single" w:sz="4" w:space="0" w:color="auto"/>
            </w:tcBorders>
            <w:shd w:val="clear" w:color="auto" w:fill="9CC2E5"/>
            <w:hideMark/>
          </w:tcPr>
          <w:p w:rsidR="006A1580" w:rsidRPr="003138BF" w:rsidRDefault="00962590" w:rsidP="00085790">
            <w:pPr>
              <w:bidi/>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Qty</w:t>
            </w:r>
          </w:p>
        </w:tc>
        <w:tc>
          <w:tcPr>
            <w:tcW w:w="1350" w:type="dxa"/>
            <w:tcBorders>
              <w:top w:val="single" w:sz="4" w:space="0" w:color="auto"/>
              <w:left w:val="nil"/>
              <w:bottom w:val="single" w:sz="4" w:space="0" w:color="auto"/>
              <w:right w:val="single" w:sz="4" w:space="0" w:color="auto"/>
            </w:tcBorders>
            <w:shd w:val="clear" w:color="auto" w:fill="9CC2E5"/>
            <w:hideMark/>
          </w:tcPr>
          <w:p w:rsidR="006A1580" w:rsidRPr="003138BF" w:rsidRDefault="006A1580" w:rsidP="00085790">
            <w:pPr>
              <w:bidi/>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Unite Price</w:t>
            </w:r>
          </w:p>
        </w:tc>
        <w:tc>
          <w:tcPr>
            <w:tcW w:w="1260" w:type="dxa"/>
            <w:tcBorders>
              <w:top w:val="single" w:sz="4" w:space="0" w:color="auto"/>
              <w:left w:val="nil"/>
              <w:bottom w:val="single" w:sz="4" w:space="0" w:color="auto"/>
              <w:right w:val="single" w:sz="4" w:space="0" w:color="auto"/>
            </w:tcBorders>
            <w:shd w:val="clear" w:color="auto" w:fill="9CC2E5"/>
            <w:hideMark/>
          </w:tcPr>
          <w:p w:rsidR="006A1580" w:rsidRPr="003138BF" w:rsidRDefault="006A1580" w:rsidP="00085790">
            <w:pPr>
              <w:bidi/>
              <w:spacing w:after="0" w:line="240" w:lineRule="auto"/>
              <w:jc w:val="center"/>
              <w:rPr>
                <w:rFonts w:ascii="Times New Roman" w:eastAsia="Times New Roman" w:hAnsi="Times New Roman" w:cs="Times New Roman"/>
                <w:b/>
                <w:bCs/>
                <w:sz w:val="24"/>
                <w:szCs w:val="24"/>
                <w:rtl/>
                <w:lang w:bidi="ar-IQ"/>
              </w:rPr>
            </w:pPr>
            <w:r>
              <w:rPr>
                <w:rFonts w:ascii="Times New Roman" w:eastAsia="Times New Roman" w:hAnsi="Times New Roman" w:cs="Times New Roman"/>
                <w:b/>
                <w:bCs/>
                <w:sz w:val="24"/>
                <w:szCs w:val="24"/>
                <w:lang w:bidi="ar-IQ"/>
              </w:rPr>
              <w:t>Unite Size</w:t>
            </w:r>
          </w:p>
        </w:tc>
      </w:tr>
      <w:tr w:rsidR="006A1580" w:rsidRPr="003138BF" w:rsidTr="00D9322E">
        <w:trPr>
          <w:trHeight w:val="49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CAT-DE00-023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tl/>
              </w:rPr>
            </w:pPr>
            <w:r w:rsidRPr="003138BF">
              <w:rPr>
                <w:rFonts w:ascii="Times New Roman" w:eastAsia="Times New Roman" w:hAnsi="Times New Roman" w:cs="Times New Roman"/>
                <w:b/>
                <w:bCs/>
                <w:sz w:val="24"/>
                <w:szCs w:val="24"/>
              </w:rPr>
              <w:t>Modified R.co amplatz +SH - I  7f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832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tl/>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84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CAT-DE00-070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Exchaig guide wire teflon coated J - shaptip 0.021 , 260cm Long</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5950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tl/>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63"/>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CAT-DE00-074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Exchange guide wire Teflon coated 260 cm  straight       0.038-</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5570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CAT-DE00-082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Exchange guide wire -J tip standard 0.014,300cm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10287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9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CAT-DE00-101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Amplatz left conoary I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4180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8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CAT-DE00-103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Amplatz left conoary II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2570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3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CAT-DE00-105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Amplatz left conoary III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877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6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spacing w:after="16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Pr>
              <w:t>CAT-DE00-107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Internal mammery catheter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2817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6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spacing w:after="16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Pr>
              <w:t>CAT-DE00-109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NIH catheter   4F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980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6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spacing w:after="16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Pr>
              <w:t>CAT-DE00-110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NIH catheter   5F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2060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6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CAT-DE00-111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NIH catheter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1040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CAT-DE00-112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Swan Ganz catheter   5f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CAT-DE00-113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Swan Ganz catheter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63"/>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CAT-DE00-115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Left coronary catheter judken    5f/3.5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5055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49"/>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CAT-DE00-116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Right coronary catheter judken  6f/6</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38"/>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CAT-DE00-121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Renal Catheter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1505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2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CAT-DE00-122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Gensini catheter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765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8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CAT-DE00-130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Seldinger needle    (gauge 17/3 inch )</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20530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83"/>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CAT-DE00-133</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Seldinger needle for pediatric</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8490</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38"/>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CAT-DE00-134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Introducer sheath with out heamostasis (Venous)   4f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1070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7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CAT-DE00-135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Introducer sheath with out heamostasis (Venous)   5f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2390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98"/>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CAT-DE00-136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Introducer sheath with out heamostasis (Venous)   6f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7235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CAT-DE00-137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Introducer sheath with out heamostasis (Venous)   7f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5880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23"/>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CAT-DE00-146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Introducer sheath with heamostasis  9f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98"/>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CAT-DE00-147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Syring with HANDI - F1L for injection use (libeled - Florshiem) 150 ml Part no. -600269 (disposable)</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10432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1069"/>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CAT-DE00-152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Brockenbrough adult needl set for interatrial septostomy stainless steel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2192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43"/>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CAT-DE00-153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Mullins interatrial septostomy sheath for adults 7F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472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9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CAT-DE00-154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Mullins interatrial septostomy sheath for adults 8F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442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6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CAT-DE00-157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Gould transduser P23XL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7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CAT-DE00-158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Domes for goud transduser P23XL (D400S) LOT no.243601 gish biomedical inc.</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12665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48"/>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CAT-DE00-162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Peripheral angioplasty balloon 5mm*10mm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3055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2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CAT-DE00-170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Rashkind arterial septosomy ballon catheter</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495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3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CAT-DE00-174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Pressure gauge ( 0-300mm Hg)</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535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CAT-DE00-201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Morse Angiogranphic Syringe with (Namic) Reservior</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6655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5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CAT-DE00-204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Angiogard , different sizes ( EZ) wire protection device</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1984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5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CAT-DE00-206</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Detachable balloons , different sizes ( cerebral )</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503</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6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CAT-DE00-214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R. CO JUDKINI + SLID HOLES  5F/ 4</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775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6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CAT-DE00-215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PEEL AWAY SHEATH 9F + INTRODUCER ROTABLATER DEVICE FOR PTCA BRANCHY THERAPY FOR INSTENT  RESTENOSISE ( DEVICE )</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597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82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CAT-DE00-220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PRESSURE WIRE FOR     F.F.R</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1985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13"/>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CAT-DE00-223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 W TORY ( HYDROPHILIC 0 0.032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6042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85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CAT-DE00-224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 W TORY ( HYDROPHILIC 0 0.030</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5585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9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CAT-DE00-225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 W TORY ( HYDROPHILIC 0 0.028</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2481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84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CAT-DE00-227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 W TORY ( HYDROPHILIC 0 0.021</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3170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CAT-DE00-229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Non contact catheters with multiple sensing electrodes</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12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Special need for cardic centers</w:t>
            </w:r>
            <w:r w:rsidRPr="003138BF">
              <w:rPr>
                <w:rFonts w:ascii="Times New Roman" w:eastAsia="Times New Roman" w:hAnsi="Times New Roman" w:cs="Times New Roman"/>
                <w:b/>
                <w:bCs/>
                <w:sz w:val="24"/>
                <w:szCs w:val="24"/>
              </w:rPr>
              <w:br/>
              <w:t>aortic endoprocthesis ( self expanding aortic stent ) size 16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16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16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17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17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CAT-DE00-235</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17 mm x 6 cm</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18 mm x 2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18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18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CAT-DE00-239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18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19 mm x 2cm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19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19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19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20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20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20 mm x 5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20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20 mm x 8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CAT-DE00-249</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22 mm x 3 cm</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22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22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22 mm x 8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24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24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24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26 mm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26 mm x 4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CAT-DE00-258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aortic endoprocthesis ( self expanding aortic stent ) size 26 mm x 6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8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CAT-DE00-307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cutting ball . For restenosis size 3.5 x 2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337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8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CAT-DE00-309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cutting ball . For restenosis size 3 x 10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2C391E" w:rsidP="000857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470</w:t>
            </w:r>
            <w:bookmarkStart w:id="137" w:name="_GoBack"/>
            <w:bookmarkEnd w:id="137"/>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8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debulking ( atherectomy ) device size 2.5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debulking ( atherectomy ) device size 3</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perfusion balloon size 2.5 x 2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113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43"/>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perfusion balloon size 2.5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63"/>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CAT-DE00-317</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perfusion balloon size 3 x 2 cm</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115</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perfusion balloon size 3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CAT-DE00-319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perfusion balloon size 3.5 x 2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115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CAT-DE00-320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intracoronary perfusion balloon size 3.5 x 3 cm</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58"/>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CAT-DE00-367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Rad pad disposable lead</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5420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CAT-DE00-374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Torque guide wire Type  Micrrovena ™ ,platinum TM Termo  TM, glide wirre (termo PLUS meical crop,somerset nj) 0.018D,45cm 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9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CAT-DE00-375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Torque guide wire0.021d,45cm 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4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CAT-DE00-376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Torque guide wire 0.021D,80cmL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3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CAT-DE00-377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Torque guide wire 0,025D,160cmL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3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CAT-DE00-378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Torgue guide wire 0,032D,160cmL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3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Torque(exchange) guide wire0,21D,260cmL</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3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controllable or active )deflector wire Amplatz ™ controllable or active)deflector wire(cookinc, bloomingto, in)Tiip curve -5,10,15mm in diameter 0,025D,</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Multipurpose C catheter 65,100cmL,4Fr,sheath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259</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Multipurpose C catheter  65,100cmL,5fr,sheath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344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Flow-directed balloon catheter 4Fr,sheath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SWANGANZ catheter5  lumen  4Fr,sheath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CAT-DE00-389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SWANGANZ catheter5  lumen  6Fr,sheath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Multi-trak      catheter  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CAT-DE00-392</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Multi-trak (TM)     SYSTEM        Multi-Track (TM)      ballon dilation catheter  Inc,Hopkinton,NY) 14D,7fr,14fr</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Multi-trak (TM)     SYSTEM        Multi-Track (TM)      ballon dilation catheter  16D</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Multi-trak (TM)     SYSTEM        Multi-Track (TM)      ballon dilation catheter 18D</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Multi-trak (TM)     SYSTEM        Multi-Track (TM)      ballon dilation catheter 20D</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Goodale-lubin  catheter 3Fr,sheath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Goodale-lubin  catheter 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CAT-DE00-399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Goodale-lubin  catheter 6Fr,sheath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guide  wire snaire 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687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Bioptome catheter &amp; forceps  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33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Bioptome catheter &amp; forceps  6Fr,sheath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Dotter - type  basket catheter</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Berman wede catheter 4Fr,sheath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2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Berman wede catheter 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Berman angiographic catheter  0,018 inch D, 4Fr,sheath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CAT-DE00-409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Berman angiographic catheter  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90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CAT-DE00-410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(Berman) balloon occlusion catheter  4Fr,sheath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CAT-DE00-411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Termo catheter(cobra non taper angle, straight taper)5Fr,sheath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CAT-DE00-435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Sizing balloon  Type 24, 24,35 D, 7Fr,sheat</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565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01"/>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CAT-DE00-437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Dilator  4Fr 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CAT-DE00-440</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Dilator  10Fr sheath</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270</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1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Dilator  12Fr 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85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Dilator  14Fr sheath</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7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(Guiding catheter)JL  8×3.5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9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(Guiding catheter)JL  8×4</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150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9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(Guiding catheter)AL1   8f</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107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tl/>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(Guiding catheter)EBU 8×3.5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122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9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CAT-DE00-449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(Guiding catheter)EBU 8×4</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112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05"/>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CAT-DE18-476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2.25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99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CAT-DE18-477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2.25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CAT-DE18-478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2.5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74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CAT-DE18-479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2.5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98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3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69</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3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3.5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89</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3.5 length15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81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4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4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4.5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CAT-DE18-487</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4.5 length15</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53</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CAT-DE18-489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40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5.5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size5.5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6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6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6.5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6.5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7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7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7.5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CAT-DE18-499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7.5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8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8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9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9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size10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size10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11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size11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CAT-DE18-508</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12 length 12</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CAT-DE18-509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12 length15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CAT-DE18-510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13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CAT-DE18-511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13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CAT-DE18-512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14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CAT-DE18-513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self expandable size 14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CAT-DE18-514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2.25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CAT-DE18-515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2.25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63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CAT-DE18-528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5.5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CAT-DE18-529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size5.5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6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6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27</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6.5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6.5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21</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7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7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7.5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7.5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085790">
        <w:trPr>
          <w:trHeight w:val="71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8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CAT-DE18-539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8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23</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085790">
        <w:trPr>
          <w:trHeight w:val="476"/>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9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19</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single" w:sz="4" w:space="0" w:color="auto"/>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CAT-DE18-541</w:t>
            </w:r>
          </w:p>
        </w:tc>
        <w:tc>
          <w:tcPr>
            <w:tcW w:w="354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9  length 15</w:t>
            </w:r>
          </w:p>
        </w:tc>
        <w:tc>
          <w:tcPr>
            <w:tcW w:w="1405"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22</w:t>
            </w:r>
          </w:p>
        </w:tc>
        <w:tc>
          <w:tcPr>
            <w:tcW w:w="135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single" w:sz="4" w:space="0" w:color="auto"/>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085790">
        <w:trPr>
          <w:trHeight w:val="17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CAT-DE18-542</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size10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size10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22</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11 length12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size11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CAT-DE18-546</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12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CAT-DE18-547</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12 length15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CAT-DE18-548</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13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CAT-DE18-549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13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CAT-DE18-550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14 length 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14</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60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CAT-DE18-551</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graft Stent Balloon mounted size 14 length 15</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2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CAT-DE18-579</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Muscular VSD device</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280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552"/>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CAT-DE18-580</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per membranous VSD device</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185</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40"/>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CAT-DE18-583</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Mullius transspetal needle G12</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160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404"/>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CAT-DE18-584</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Mullius transspetal needle G10</w:t>
            </w:r>
          </w:p>
        </w:tc>
        <w:tc>
          <w:tcPr>
            <w:tcW w:w="140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360</w:t>
            </w: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r w:rsidR="006A1580" w:rsidRPr="003138BF" w:rsidTr="00D9322E">
        <w:trPr>
          <w:trHeight w:val="77"/>
        </w:trPr>
        <w:tc>
          <w:tcPr>
            <w:tcW w:w="648" w:type="dxa"/>
            <w:tcBorders>
              <w:top w:val="nil"/>
              <w:left w:val="single" w:sz="4" w:space="0" w:color="auto"/>
              <w:bottom w:val="single" w:sz="4" w:space="0" w:color="auto"/>
              <w:right w:val="single" w:sz="4" w:space="0" w:color="auto"/>
            </w:tcBorders>
            <w:shd w:val="clear" w:color="auto" w:fill="FFFFFF"/>
          </w:tcPr>
          <w:p w:rsidR="006A1580" w:rsidRPr="003138BF" w:rsidRDefault="006A1580" w:rsidP="00085790">
            <w:pPr>
              <w:pStyle w:val="ListParagraph"/>
              <w:numPr>
                <w:ilvl w:val="0"/>
                <w:numId w:val="40"/>
              </w:numPr>
              <w:bidi w:val="0"/>
              <w:ind w:left="0" w:right="-18" w:firstLine="0"/>
              <w:contextualSpacing/>
              <w:jc w:val="center"/>
              <w:rPr>
                <w:b/>
                <w:bCs/>
                <w:rtl/>
              </w:rPr>
            </w:pPr>
          </w:p>
        </w:tc>
        <w:tc>
          <w:tcPr>
            <w:tcW w:w="2160" w:type="dxa"/>
            <w:tcBorders>
              <w:top w:val="nil"/>
              <w:left w:val="single" w:sz="4" w:space="0" w:color="auto"/>
              <w:bottom w:val="single" w:sz="4" w:space="0" w:color="auto"/>
              <w:right w:val="single" w:sz="4" w:space="0" w:color="auto"/>
            </w:tcBorders>
            <w:shd w:val="clear" w:color="auto" w:fill="FFFFFF"/>
            <w:noWrap/>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CAT-DE20-585</w:t>
            </w:r>
          </w:p>
        </w:tc>
        <w:tc>
          <w:tcPr>
            <w:tcW w:w="3545"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Stentys Self oppsing bifurcation stent</w:t>
            </w:r>
          </w:p>
        </w:tc>
        <w:tc>
          <w:tcPr>
            <w:tcW w:w="1405" w:type="dxa"/>
            <w:tcBorders>
              <w:top w:val="nil"/>
              <w:left w:val="nil"/>
              <w:bottom w:val="single" w:sz="4" w:space="0" w:color="auto"/>
              <w:right w:val="single" w:sz="4" w:space="0" w:color="auto"/>
            </w:tcBorders>
            <w:shd w:val="clear" w:color="auto" w:fill="FFFFFF"/>
          </w:tcPr>
          <w:p w:rsidR="006A1580" w:rsidRPr="003138BF" w:rsidRDefault="006A1580" w:rsidP="00085790">
            <w:pPr>
              <w:spacing w:after="0" w:line="240" w:lineRule="auto"/>
              <w:jc w:val="center"/>
              <w:rPr>
                <w:rFonts w:ascii="Times New Roman" w:eastAsia="Times New Roman" w:hAnsi="Times New Roman" w:cs="Times New Roman"/>
                <w:b/>
                <w:bCs/>
                <w:sz w:val="24"/>
                <w:szCs w:val="24"/>
              </w:rPr>
            </w:pPr>
            <w:r w:rsidRPr="003138BF">
              <w:rPr>
                <w:rFonts w:ascii="Times New Roman" w:eastAsia="Times New Roman" w:hAnsi="Times New Roman" w:cs="Times New Roman"/>
                <w:b/>
                <w:bCs/>
                <w:sz w:val="24"/>
                <w:szCs w:val="24"/>
              </w:rPr>
              <w:t>580</w:t>
            </w:r>
          </w:p>
          <w:p w:rsidR="006A1580" w:rsidRPr="003138BF" w:rsidRDefault="006A1580" w:rsidP="00085790">
            <w:pPr>
              <w:spacing w:after="0" w:line="240" w:lineRule="auto"/>
              <w:rPr>
                <w:rFonts w:ascii="Times New Roman" w:eastAsia="Times New Roman" w:hAnsi="Times New Roman" w:cs="Times New Roman"/>
                <w:b/>
                <w:bCs/>
                <w:sz w:val="24"/>
                <w:szCs w:val="24"/>
              </w:rPr>
            </w:pPr>
          </w:p>
        </w:tc>
        <w:tc>
          <w:tcPr>
            <w:tcW w:w="135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line="240" w:lineRule="auto"/>
              <w:jc w:val="center"/>
              <w:rPr>
                <w:rFonts w:ascii="Times New Roman" w:eastAsia="Calibri" w:hAnsi="Times New Roman" w:cs="Times New Roman"/>
                <w:sz w:val="24"/>
                <w:szCs w:val="24"/>
              </w:rPr>
            </w:pPr>
            <w:r w:rsidRPr="003138BF">
              <w:rPr>
                <w:rFonts w:ascii="Times New Roman" w:eastAsia="Times New Roman" w:hAnsi="Times New Roman" w:cs="Times New Roman"/>
                <w:b/>
                <w:bCs/>
                <w:sz w:val="24"/>
                <w:szCs w:val="24"/>
                <w:rtl/>
                <w:lang w:bidi="ar-IQ"/>
              </w:rPr>
              <w:t>استثناء من الكلفة</w:t>
            </w:r>
          </w:p>
        </w:tc>
        <w:tc>
          <w:tcPr>
            <w:tcW w:w="1260" w:type="dxa"/>
            <w:tcBorders>
              <w:top w:val="nil"/>
              <w:left w:val="nil"/>
              <w:bottom w:val="single" w:sz="4" w:space="0" w:color="auto"/>
              <w:right w:val="single" w:sz="4" w:space="0" w:color="auto"/>
            </w:tcBorders>
            <w:shd w:val="clear" w:color="auto" w:fill="FFFFFF"/>
            <w:hideMark/>
          </w:tcPr>
          <w:p w:rsidR="006A1580" w:rsidRPr="003138BF" w:rsidRDefault="006A1580" w:rsidP="00085790">
            <w:pPr>
              <w:spacing w:after="0" w:line="240" w:lineRule="auto"/>
              <w:jc w:val="center"/>
              <w:rPr>
                <w:rFonts w:ascii="Times New Roman" w:eastAsia="Times New Roman" w:hAnsi="Times New Roman" w:cs="Times New Roman"/>
                <w:b/>
                <w:bCs/>
                <w:sz w:val="24"/>
                <w:szCs w:val="24"/>
                <w:lang w:bidi="ar-IQ"/>
              </w:rPr>
            </w:pPr>
            <w:r w:rsidRPr="003138BF">
              <w:rPr>
                <w:rFonts w:ascii="Times New Roman" w:eastAsia="Times New Roman" w:hAnsi="Times New Roman" w:cs="Times New Roman"/>
                <w:b/>
                <w:bCs/>
                <w:sz w:val="24"/>
                <w:szCs w:val="24"/>
                <w:lang w:bidi="ar-IQ"/>
              </w:rPr>
              <w:t>PCS</w:t>
            </w:r>
          </w:p>
        </w:tc>
      </w:tr>
    </w:tbl>
    <w:p w:rsidR="00851780" w:rsidRDefault="00851780" w:rsidP="00C84D0C">
      <w:pPr>
        <w:spacing w:after="0"/>
        <w:rPr>
          <w:rFonts w:asciiTheme="minorBidi" w:hAnsiTheme="minorBidi"/>
          <w:highlight w:val="yellow"/>
        </w:rPr>
      </w:pPr>
    </w:p>
    <w:p w:rsidR="000505B6" w:rsidRPr="000505B6" w:rsidRDefault="000505B6" w:rsidP="000505B6">
      <w:pPr>
        <w:rPr>
          <w:rFonts w:ascii="Calibri" w:eastAsia="Times New Roman" w:hAnsi="Calibri" w:cs="Arial"/>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F861E0" w:rsidRDefault="00F861E0" w:rsidP="004F0CDD">
      <w:pPr>
        <w:pStyle w:val="Part1"/>
        <w:spacing w:before="240" w:after="0"/>
        <w:jc w:val="left"/>
        <w:rPr>
          <w:rFonts w:asciiTheme="minorBidi" w:hAnsiTheme="minorBidi" w:cstheme="minorBidi"/>
          <w:sz w:val="44"/>
          <w:szCs w:val="44"/>
          <w:lang w:val="en-GB"/>
        </w:rPr>
      </w:pPr>
    </w:p>
    <w:p w:rsidR="00F861E0" w:rsidRPr="00C84D0C" w:rsidRDefault="00F861E0" w:rsidP="004F0CDD">
      <w:pPr>
        <w:pStyle w:val="Part1"/>
        <w:spacing w:before="240" w:after="0"/>
        <w:jc w:val="left"/>
        <w:rPr>
          <w:rFonts w:asciiTheme="minorBidi" w:hAnsiTheme="minorBidi" w:cstheme="minorBidi"/>
          <w:sz w:val="44"/>
          <w:szCs w:val="44"/>
          <w:rtl/>
          <w:lang w:val="en-GB"/>
        </w:rPr>
      </w:pPr>
    </w:p>
    <w:p w:rsidR="003C10B6" w:rsidRDefault="003C10B6" w:rsidP="00C84D0C">
      <w:pPr>
        <w:pStyle w:val="Part1"/>
        <w:spacing w:before="240" w:after="0"/>
        <w:rPr>
          <w:rFonts w:asciiTheme="minorBidi" w:hAnsiTheme="minorBidi" w:cstheme="minorBidi"/>
          <w:sz w:val="44"/>
          <w:szCs w:val="44"/>
          <w:highlight w:val="yellow"/>
          <w:lang w:val="en-GB"/>
        </w:rPr>
      </w:pPr>
    </w:p>
    <w:p w:rsidR="003C10B6" w:rsidRDefault="003C10B6" w:rsidP="00C84D0C">
      <w:pPr>
        <w:pStyle w:val="Part1"/>
        <w:spacing w:before="240" w:after="0"/>
        <w:rPr>
          <w:rFonts w:asciiTheme="minorBidi" w:hAnsiTheme="minorBidi" w:cstheme="minorBidi"/>
          <w:sz w:val="44"/>
          <w:szCs w:val="44"/>
          <w:highlight w:val="yellow"/>
          <w:lang w:val="en-GB"/>
        </w:rPr>
      </w:pPr>
    </w:p>
    <w:p w:rsidR="003C10B6" w:rsidRDefault="003C10B6" w:rsidP="00C84D0C">
      <w:pPr>
        <w:pStyle w:val="Part1"/>
        <w:spacing w:before="240" w:after="0"/>
        <w:rPr>
          <w:rFonts w:asciiTheme="minorBidi" w:hAnsiTheme="minorBidi" w:cstheme="minorBidi"/>
          <w:sz w:val="44"/>
          <w:szCs w:val="44"/>
          <w:highlight w:val="yellow"/>
          <w:lang w:val="en-GB"/>
        </w:rPr>
      </w:pPr>
    </w:p>
    <w:p w:rsidR="003C10B6" w:rsidRDefault="003C10B6" w:rsidP="00C84D0C">
      <w:pPr>
        <w:pStyle w:val="Part1"/>
        <w:spacing w:before="240" w:after="0"/>
        <w:rPr>
          <w:rFonts w:asciiTheme="minorBidi" w:hAnsiTheme="minorBidi" w:cstheme="minorBidi"/>
          <w:sz w:val="44"/>
          <w:szCs w:val="44"/>
          <w:highlight w:val="yellow"/>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8162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3816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3816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38162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38162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38162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38162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38162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38162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38162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3816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3816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3816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3816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38162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3816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3816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38162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38162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698" w:rsidRDefault="00172698" w:rsidP="00C10F59">
      <w:pPr>
        <w:spacing w:after="0" w:line="240" w:lineRule="auto"/>
      </w:pPr>
      <w:r>
        <w:separator/>
      </w:r>
    </w:p>
  </w:endnote>
  <w:endnote w:type="continuationSeparator" w:id="0">
    <w:p w:rsidR="00172698" w:rsidRDefault="00172698"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rsidP="00E41BC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2023/87</w:t>
    </w:r>
    <w:r>
      <w:rPr>
        <w:rFonts w:asciiTheme="majorHAnsi" w:hAnsiTheme="majorHAnsi" w:hint="cs"/>
        <w:b/>
        <w:bCs/>
        <w:rtl/>
      </w:rPr>
      <w:t xml:space="preserve"> </w:t>
    </w:r>
    <w:r>
      <w:rPr>
        <w:rFonts w:asciiTheme="majorHAnsi" w:hAnsiTheme="majorHAnsi"/>
        <w:b/>
        <w:bCs/>
      </w:rPr>
      <w:t>Cardiac  Appliances</w:t>
    </w:r>
  </w:p>
  <w:p w:rsidR="0020196D" w:rsidRDefault="0020196D"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0196D" w:rsidRPr="009E776D" w:rsidRDefault="0020196D" w:rsidP="006C6237">
    <w:pPr>
      <w:spacing w:after="0"/>
      <w:rPr>
        <w:rFonts w:asciiTheme="majorHAnsi" w:hAnsiTheme="majorHAnsi"/>
      </w:rPr>
    </w:pPr>
    <w:r w:rsidRPr="009E776D">
      <w:rPr>
        <w:rFonts w:asciiTheme="majorHAnsi" w:hAnsiTheme="majorHAnsi"/>
      </w:rPr>
      <w:t>Drugs Medical Appliances (kimadia )</w:t>
    </w:r>
  </w:p>
  <w:p w:rsidR="0020196D" w:rsidRDefault="002019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rsidP="003C10B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2023/49</w:t>
    </w:r>
    <w:r>
      <w:rPr>
        <w:rFonts w:asciiTheme="majorHAnsi" w:hAnsiTheme="majorHAnsi" w:hint="cs"/>
        <w:b/>
        <w:bCs/>
        <w:rtl/>
      </w:rPr>
      <w:t xml:space="preserve"> </w:t>
    </w:r>
    <w:r>
      <w:rPr>
        <w:rFonts w:asciiTheme="majorHAnsi" w:hAnsiTheme="majorHAnsi"/>
        <w:b/>
        <w:bCs/>
      </w:rPr>
      <w:t>Cardiac  Appliances</w:t>
    </w:r>
  </w:p>
  <w:p w:rsidR="0020196D" w:rsidRDefault="0020196D"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0196D" w:rsidRPr="009E776D" w:rsidRDefault="0020196D" w:rsidP="009E776D">
    <w:pPr>
      <w:spacing w:after="0"/>
      <w:rPr>
        <w:rFonts w:asciiTheme="majorHAnsi" w:hAnsiTheme="majorHAnsi"/>
      </w:rPr>
    </w:pPr>
    <w:r w:rsidRPr="009E776D">
      <w:rPr>
        <w:rFonts w:asciiTheme="majorHAnsi" w:hAnsiTheme="majorHAnsi"/>
      </w:rPr>
      <w:t>Drugs Medical Appliances (kimadia )</w:t>
    </w:r>
  </w:p>
  <w:p w:rsidR="0020196D" w:rsidRDefault="0020196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C391E" w:rsidRPr="002C391E">
      <w:rPr>
        <w:rFonts w:asciiTheme="majorHAnsi" w:hAnsiTheme="majorHAnsi"/>
        <w:noProof/>
      </w:rPr>
      <w:t>143</w:t>
    </w:r>
    <w:r>
      <w:rPr>
        <w:rFonts w:asciiTheme="majorHAnsi" w:hAnsiTheme="majorHAnsi"/>
        <w:noProof/>
      </w:rPr>
      <w:fldChar w:fldCharType="end"/>
    </w:r>
  </w:p>
  <w:p w:rsidR="0020196D" w:rsidRDefault="002019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698" w:rsidRDefault="00172698" w:rsidP="00C10F59">
      <w:pPr>
        <w:spacing w:after="0" w:line="240" w:lineRule="auto"/>
      </w:pPr>
      <w:r>
        <w:separator/>
      </w:r>
    </w:p>
  </w:footnote>
  <w:footnote w:type="continuationSeparator" w:id="0">
    <w:p w:rsidR="00172698" w:rsidRDefault="00172698"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C391E">
      <w:rPr>
        <w:rStyle w:val="PageNumber"/>
        <w:noProof/>
      </w:rPr>
      <w:t>61</w:t>
    </w:r>
    <w:r>
      <w:rPr>
        <w:rStyle w:val="PageNumber"/>
      </w:rPr>
      <w:fldChar w:fldCharType="end"/>
    </w:r>
  </w:p>
  <w:p w:rsidR="0020196D" w:rsidRDefault="0020196D">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C391E">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C391E">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C391E">
      <w:rPr>
        <w:rStyle w:val="PageNumber"/>
        <w:noProof/>
        <w:sz w:val="20"/>
      </w:rPr>
      <w:t>80</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C391E">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C391E">
      <w:rPr>
        <w:rStyle w:val="PageNumber"/>
        <w:noProof/>
      </w:rPr>
      <w:t>74</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Pr="00AB30CE" w:rsidRDefault="0020196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0196D" w:rsidRDefault="0020196D" w:rsidP="001420A4">
    <w:pPr>
      <w:pStyle w:val="Header"/>
      <w:pBdr>
        <w:bottom w:val="single" w:sz="4" w:space="1" w:color="auto"/>
      </w:pBdr>
    </w:pPr>
    <w:r>
      <w:tab/>
    </w:r>
    <w:r>
      <w:fldChar w:fldCharType="begin"/>
    </w:r>
    <w:r>
      <w:instrText xml:space="preserve"> PAGE </w:instrText>
    </w:r>
    <w:r>
      <w:fldChar w:fldCharType="separate"/>
    </w:r>
    <w:r w:rsidR="002C391E">
      <w:rPr>
        <w:noProof/>
      </w:rPr>
      <w:t>143</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6D" w:rsidRDefault="0020196D">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C391E">
      <w:rPr>
        <w:rStyle w:val="PageNumber"/>
        <w:noProof/>
      </w:rPr>
      <w:t>91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AF0420"/>
    <w:multiLevelType w:val="hybridMultilevel"/>
    <w:tmpl w:val="F47E2416"/>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2"/>
  </w:num>
  <w:num w:numId="3">
    <w:abstractNumId w:val="11"/>
  </w:num>
  <w:num w:numId="4">
    <w:abstractNumId w:val="19"/>
  </w:num>
  <w:num w:numId="5">
    <w:abstractNumId w:val="29"/>
  </w:num>
  <w:num w:numId="6">
    <w:abstractNumId w:val="31"/>
  </w:num>
  <w:num w:numId="7">
    <w:abstractNumId w:val="16"/>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38"/>
  </w:num>
  <w:num w:numId="21">
    <w:abstractNumId w:val="25"/>
  </w:num>
  <w:num w:numId="22">
    <w:abstractNumId w:val="28"/>
  </w:num>
  <w:num w:numId="23">
    <w:abstractNumId w:val="14"/>
  </w:num>
  <w:num w:numId="24">
    <w:abstractNumId w:val="26"/>
  </w:num>
  <w:num w:numId="25">
    <w:abstractNumId w:val="30"/>
  </w:num>
  <w:num w:numId="26">
    <w:abstractNumId w:val="34"/>
  </w:num>
  <w:num w:numId="27">
    <w:abstractNumId w:val="17"/>
  </w:num>
  <w:num w:numId="28">
    <w:abstractNumId w:val="37"/>
  </w:num>
  <w:num w:numId="29">
    <w:abstractNumId w:val="36"/>
  </w:num>
  <w:num w:numId="30">
    <w:abstractNumId w:val="10"/>
  </w:num>
  <w:num w:numId="31">
    <w:abstractNumId w:val="33"/>
  </w:num>
  <w:num w:numId="32">
    <w:abstractNumId w:val="21"/>
  </w:num>
  <w:num w:numId="33">
    <w:abstractNumId w:val="35"/>
  </w:num>
  <w:num w:numId="34">
    <w:abstractNumId w:val="39"/>
  </w:num>
  <w:num w:numId="35">
    <w:abstractNumId w:val="27"/>
  </w:num>
  <w:num w:numId="36">
    <w:abstractNumId w:val="22"/>
  </w:num>
  <w:num w:numId="37">
    <w:abstractNumId w:val="12"/>
  </w:num>
  <w:num w:numId="38">
    <w:abstractNumId w:val="18"/>
  </w:num>
  <w:num w:numId="39">
    <w:abstractNumId w:val="15"/>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625A"/>
    <w:rsid w:val="00047DAE"/>
    <w:rsid w:val="000502F1"/>
    <w:rsid w:val="000505B6"/>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790"/>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D1C"/>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698"/>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196D"/>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391E"/>
    <w:rsid w:val="002C4514"/>
    <w:rsid w:val="002C4534"/>
    <w:rsid w:val="002C4590"/>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161C"/>
    <w:rsid w:val="00363481"/>
    <w:rsid w:val="00364393"/>
    <w:rsid w:val="00364CFD"/>
    <w:rsid w:val="003713D8"/>
    <w:rsid w:val="00372B48"/>
    <w:rsid w:val="00373F51"/>
    <w:rsid w:val="0037743A"/>
    <w:rsid w:val="00380AE3"/>
    <w:rsid w:val="00381180"/>
    <w:rsid w:val="003813A1"/>
    <w:rsid w:val="00381622"/>
    <w:rsid w:val="003825BF"/>
    <w:rsid w:val="00382B6C"/>
    <w:rsid w:val="00383A3B"/>
    <w:rsid w:val="0038403D"/>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0B6"/>
    <w:rsid w:val="003C1204"/>
    <w:rsid w:val="003C17ED"/>
    <w:rsid w:val="003C294F"/>
    <w:rsid w:val="003C404F"/>
    <w:rsid w:val="003D4179"/>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09E6"/>
    <w:rsid w:val="00495977"/>
    <w:rsid w:val="004A00DA"/>
    <w:rsid w:val="004A0692"/>
    <w:rsid w:val="004A2445"/>
    <w:rsid w:val="004A37CE"/>
    <w:rsid w:val="004A3B8D"/>
    <w:rsid w:val="004A6693"/>
    <w:rsid w:val="004A761B"/>
    <w:rsid w:val="004B0B8C"/>
    <w:rsid w:val="004B0BAD"/>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03D3A"/>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47110"/>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5F50D2"/>
    <w:rsid w:val="00600476"/>
    <w:rsid w:val="006070EE"/>
    <w:rsid w:val="006109B7"/>
    <w:rsid w:val="0061333B"/>
    <w:rsid w:val="006139DB"/>
    <w:rsid w:val="00613F6F"/>
    <w:rsid w:val="00616E1C"/>
    <w:rsid w:val="00616EEE"/>
    <w:rsid w:val="00617C64"/>
    <w:rsid w:val="00617FB4"/>
    <w:rsid w:val="00620055"/>
    <w:rsid w:val="00623E4C"/>
    <w:rsid w:val="00624B21"/>
    <w:rsid w:val="00626A83"/>
    <w:rsid w:val="00627A32"/>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80"/>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221"/>
    <w:rsid w:val="006E2884"/>
    <w:rsid w:val="006E3E4D"/>
    <w:rsid w:val="006E55F0"/>
    <w:rsid w:val="006F116B"/>
    <w:rsid w:val="006F391D"/>
    <w:rsid w:val="006F4268"/>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84DC5"/>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2590"/>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6A87"/>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0E76"/>
    <w:rsid w:val="00B73321"/>
    <w:rsid w:val="00B749F0"/>
    <w:rsid w:val="00B80536"/>
    <w:rsid w:val="00B8165D"/>
    <w:rsid w:val="00B825FC"/>
    <w:rsid w:val="00B83869"/>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2CF3"/>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2E5D"/>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58C"/>
    <w:rsid w:val="00C72149"/>
    <w:rsid w:val="00C72CF1"/>
    <w:rsid w:val="00C74645"/>
    <w:rsid w:val="00C7572D"/>
    <w:rsid w:val="00C7672E"/>
    <w:rsid w:val="00C80BB7"/>
    <w:rsid w:val="00C822F5"/>
    <w:rsid w:val="00C83594"/>
    <w:rsid w:val="00C83D76"/>
    <w:rsid w:val="00C8436F"/>
    <w:rsid w:val="00C84D0C"/>
    <w:rsid w:val="00C85244"/>
    <w:rsid w:val="00C92376"/>
    <w:rsid w:val="00C933C6"/>
    <w:rsid w:val="00CA204E"/>
    <w:rsid w:val="00CA28CC"/>
    <w:rsid w:val="00CA43F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5EA6"/>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42FF"/>
    <w:rsid w:val="00D57BA7"/>
    <w:rsid w:val="00D619D3"/>
    <w:rsid w:val="00D620EC"/>
    <w:rsid w:val="00D649A1"/>
    <w:rsid w:val="00D64A20"/>
    <w:rsid w:val="00D65685"/>
    <w:rsid w:val="00D6659A"/>
    <w:rsid w:val="00D66C9A"/>
    <w:rsid w:val="00D75BB5"/>
    <w:rsid w:val="00D76E6A"/>
    <w:rsid w:val="00D80FD3"/>
    <w:rsid w:val="00D824C0"/>
    <w:rsid w:val="00D84EBE"/>
    <w:rsid w:val="00D851DF"/>
    <w:rsid w:val="00D860BE"/>
    <w:rsid w:val="00D86C2B"/>
    <w:rsid w:val="00D92B02"/>
    <w:rsid w:val="00D9322E"/>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1BC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415D"/>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4CA"/>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1E0"/>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E7DF6"/>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2B24B1-0D2C-4464-BBEF-A31ED1F2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iPriority w:val="99"/>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uiPriority w:val="39"/>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uiPriority w:val="39"/>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uiPriority w:val="39"/>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uiPriority w:val="39"/>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uiPriority w:val="39"/>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1">
    <w:name w:val="Heading 3 Char1"/>
    <w:aliases w:val="Sub-Clause Paragraph Char1,Section Header3 Char1"/>
    <w:basedOn w:val="DefaultParagraphFont"/>
    <w:semiHidden/>
    <w:rsid w:val="006070EE"/>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Sub-Clause Sub-paragraph Char1"/>
    <w:basedOn w:val="DefaultParagraphFont"/>
    <w:semiHidden/>
    <w:rsid w:val="006070EE"/>
    <w:rPr>
      <w:rFonts w:asciiTheme="majorHAnsi" w:eastAsiaTheme="majorEastAsia" w:hAnsiTheme="majorHAnsi" w:cstheme="majorBidi"/>
      <w:i/>
      <w:iCs/>
      <w:color w:val="365F91" w:themeColor="accent1" w:themeShade="BF"/>
      <w:sz w:val="22"/>
      <w:szCs w:val="22"/>
    </w:rPr>
  </w:style>
  <w:style w:type="character" w:customStyle="1" w:styleId="hps">
    <w:name w:val="hps"/>
    <w:basedOn w:val="DefaultParagraphFont"/>
    <w:rsid w:val="006070EE"/>
  </w:style>
  <w:style w:type="character" w:customStyle="1" w:styleId="shorttext">
    <w:name w:val="short_text"/>
    <w:basedOn w:val="DefaultParagraphFont"/>
    <w:rsid w:val="006070EE"/>
  </w:style>
  <w:style w:type="table" w:customStyle="1" w:styleId="TableGrid1">
    <w:name w:val="Table Grid1"/>
    <w:basedOn w:val="TableNormal"/>
    <w:rsid w:val="006070EE"/>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rsid w:val="006A1580"/>
  </w:style>
  <w:style w:type="character" w:customStyle="1" w:styleId="CharChar20">
    <w:name w:val="Char Char2"/>
    <w:rsid w:val="006A1580"/>
    <w:rPr>
      <w:rFonts w:cs="Simplified Arabic"/>
      <w:sz w:val="26"/>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89930325">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272707863">
      <w:bodyDiv w:val="1"/>
      <w:marLeft w:val="0"/>
      <w:marRight w:val="0"/>
      <w:marTop w:val="0"/>
      <w:marBottom w:val="0"/>
      <w:divBdr>
        <w:top w:val="none" w:sz="0" w:space="0" w:color="auto"/>
        <w:left w:val="none" w:sz="0" w:space="0" w:color="auto"/>
        <w:bottom w:val="none" w:sz="0" w:space="0" w:color="auto"/>
        <w:right w:val="none" w:sz="0" w:space="0" w:color="auto"/>
      </w:divBdr>
    </w:div>
    <w:div w:id="33542415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21416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72404507">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10729113">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83109833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41D37-651B-4603-9C2D-A6E61C0EC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Pages>
  <Words>33751</Words>
  <Characters>192387</Characters>
  <Application>Microsoft Office Word</Application>
  <DocSecurity>0</DocSecurity>
  <Lines>1603</Lines>
  <Paragraphs>451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cp:lastModifiedBy>
  <cp:revision>135</cp:revision>
  <cp:lastPrinted>2023-02-13T10:01:00Z</cp:lastPrinted>
  <dcterms:created xsi:type="dcterms:W3CDTF">2022-01-11T22:14:00Z</dcterms:created>
  <dcterms:modified xsi:type="dcterms:W3CDTF">2023-06-05T08:22:00Z</dcterms:modified>
</cp:coreProperties>
</file>