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333339">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45648A">
        <w:rPr>
          <w:rFonts w:asciiTheme="minorBidi" w:hAnsiTheme="minorBidi"/>
          <w:sz w:val="32"/>
          <w:szCs w:val="32"/>
        </w:rPr>
        <w:t>91</w:t>
      </w:r>
      <w:proofErr w:type="gramEnd"/>
      <w:r w:rsidR="0045648A">
        <w:rPr>
          <w:rFonts w:asciiTheme="minorBidi" w:hAnsiTheme="minorBidi"/>
          <w:sz w:val="32"/>
          <w:szCs w:val="32"/>
        </w:rPr>
        <w:t>/2023/</w:t>
      </w:r>
      <w:r w:rsidR="00333339">
        <w:rPr>
          <w:rFonts w:asciiTheme="minorBidi" w:hAnsiTheme="minorBidi"/>
          <w:sz w:val="32"/>
          <w:szCs w:val="32"/>
        </w:rPr>
        <w:t>94</w:t>
      </w:r>
    </w:p>
    <w:p w:rsidR="00F82947" w:rsidRPr="00C84D0C" w:rsidRDefault="00F82947" w:rsidP="0033333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333339">
        <w:rPr>
          <w:rFonts w:asciiTheme="minorBidi" w:hAnsiTheme="minorBidi"/>
          <w:sz w:val="32"/>
          <w:szCs w:val="32"/>
        </w:rPr>
        <w:t>12</w:t>
      </w:r>
      <w:r w:rsidR="0045648A">
        <w:rPr>
          <w:rFonts w:asciiTheme="minorBidi" w:hAnsiTheme="minorBidi"/>
          <w:sz w:val="32"/>
          <w:szCs w:val="32"/>
        </w:rPr>
        <w:t>/</w:t>
      </w:r>
      <w:r w:rsidR="00333339">
        <w:rPr>
          <w:rFonts w:asciiTheme="minorBidi" w:hAnsiTheme="minorBidi"/>
          <w:sz w:val="32"/>
          <w:szCs w:val="32"/>
        </w:rPr>
        <w:t>6</w:t>
      </w:r>
      <w:r w:rsidR="0045648A">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333339">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45648A">
        <w:rPr>
          <w:rFonts w:asciiTheme="minorBidi" w:hAnsiTheme="minorBidi"/>
          <w:sz w:val="32"/>
          <w:szCs w:val="32"/>
          <w:highlight w:val="yellow"/>
        </w:rPr>
        <w:t>91</w:t>
      </w:r>
      <w:r w:rsidR="00DE6F40">
        <w:rPr>
          <w:rFonts w:asciiTheme="minorBidi" w:hAnsiTheme="minorBidi"/>
          <w:sz w:val="32"/>
          <w:szCs w:val="32"/>
          <w:highlight w:val="yellow"/>
        </w:rPr>
        <w:t>/</w:t>
      </w:r>
      <w:r w:rsidR="0045648A">
        <w:rPr>
          <w:rFonts w:asciiTheme="minorBidi" w:hAnsiTheme="minorBidi"/>
          <w:sz w:val="32"/>
          <w:szCs w:val="32"/>
          <w:highlight w:val="yellow"/>
        </w:rPr>
        <w:t>2023</w:t>
      </w:r>
      <w:r w:rsidR="00DE6F40">
        <w:rPr>
          <w:rFonts w:asciiTheme="minorBidi" w:hAnsiTheme="minorBidi"/>
          <w:sz w:val="32"/>
          <w:szCs w:val="32"/>
          <w:highlight w:val="yellow"/>
        </w:rPr>
        <w:t>/</w:t>
      </w:r>
      <w:r w:rsidR="00333339">
        <w:rPr>
          <w:rFonts w:asciiTheme="minorBidi" w:hAnsiTheme="minorBidi"/>
          <w:sz w:val="32"/>
          <w:szCs w:val="32"/>
          <w:highlight w:val="yellow"/>
        </w:rPr>
        <w:t>94</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45648A">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45648A">
        <w:rPr>
          <w:b/>
          <w:bCs/>
          <w:sz w:val="28"/>
          <w:szCs w:val="28"/>
          <w:lang w:bidi="ar-IQ"/>
        </w:rPr>
        <w:t xml:space="preserve">Surgery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7F3E7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7F3E7E">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7F3E7E">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/202</w:t>
      </w:r>
      <w:r w:rsidR="0045648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F3E7E">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w:t>
      </w:r>
      <w:r w:rsidR="007F3E7E">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/202</w:t>
      </w:r>
      <w:r w:rsidR="0045648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rFonts w:hint="cs"/>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rFonts w:hint="cs"/>
                <w:sz w:val="24"/>
                <w:szCs w:val="24"/>
                <w:rtl/>
                <w:lang w:bidi="ar-IQ"/>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F3E7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5071B">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C5071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7F3E7E">
              <w:rPr>
                <w:rFonts w:asciiTheme="minorBidi" w:hAnsiTheme="minorBidi"/>
                <w:b/>
                <w:bCs/>
                <w:sz w:val="28"/>
                <w:szCs w:val="28"/>
                <w:shd w:val="clear" w:color="auto" w:fill="FFFF00"/>
                <w:lang w:val="en-GB"/>
              </w:rPr>
              <w:t>94</w:t>
            </w:r>
            <w:r w:rsidR="00C5071B">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6440E">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7F3E7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F6440E">
              <w:rPr>
                <w:rFonts w:asciiTheme="minorBidi" w:hAnsiTheme="minorBidi"/>
                <w:sz w:val="28"/>
                <w:szCs w:val="28"/>
                <w:lang w:val="en-GB"/>
              </w:rPr>
              <w:t xml:space="preserve"> </w:t>
            </w:r>
            <w:r w:rsidR="007F3E7E">
              <w:rPr>
                <w:rFonts w:asciiTheme="minorBidi" w:hAnsiTheme="minorBidi"/>
                <w:b/>
                <w:bCs/>
                <w:sz w:val="28"/>
                <w:szCs w:val="28"/>
                <w:shd w:val="clear" w:color="auto" w:fill="FFFF00"/>
                <w:lang w:val="en-GB"/>
              </w:rPr>
              <w:t>5</w:t>
            </w:r>
            <w:r w:rsidR="00F6440E">
              <w:rPr>
                <w:rFonts w:asciiTheme="minorBidi" w:hAnsiTheme="minorBidi"/>
                <w:b/>
                <w:bCs/>
                <w:sz w:val="28"/>
                <w:szCs w:val="28"/>
                <w:shd w:val="clear" w:color="auto" w:fill="FFFF00"/>
                <w:lang w:val="en-GB"/>
              </w:rPr>
              <w:t>/</w:t>
            </w:r>
            <w:r w:rsidR="007F3E7E">
              <w:rPr>
                <w:rFonts w:asciiTheme="minorBidi" w:hAnsiTheme="minorBidi"/>
                <w:b/>
                <w:bCs/>
                <w:sz w:val="28"/>
                <w:szCs w:val="28"/>
                <w:shd w:val="clear" w:color="auto" w:fill="FFFF00"/>
                <w:lang w:val="en-GB"/>
              </w:rPr>
              <w:t>7</w:t>
            </w:r>
            <w:r w:rsidR="00F6440E">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7F3E7E" w:rsidRPr="00C20C3C" w:rsidRDefault="007F3E7E" w:rsidP="00C36783">
            <w:pPr>
              <w:spacing w:after="0"/>
              <w:contextualSpacing/>
              <w:jc w:val="both"/>
              <w:rPr>
                <w:rFonts w:asciiTheme="majorBidi" w:hAnsiTheme="majorBidi" w:cstheme="majorBidi"/>
                <w:b/>
                <w:bCs/>
                <w:sz w:val="28"/>
                <w:szCs w:val="28"/>
                <w:highlight w:val="yellow"/>
              </w:rPr>
            </w:pP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7F3E7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7F3E7E">
              <w:rPr>
                <w:rFonts w:asciiTheme="minorBidi" w:hAnsiTheme="minorBidi"/>
                <w:sz w:val="28"/>
                <w:szCs w:val="28"/>
                <w:shd w:val="clear" w:color="auto" w:fill="FFFF00"/>
                <w:lang w:val="en-GB"/>
              </w:rPr>
              <w:t>11</w:t>
            </w:r>
            <w:r w:rsidR="00F6440E">
              <w:rPr>
                <w:rFonts w:asciiTheme="minorBidi" w:hAnsiTheme="minorBidi"/>
                <w:sz w:val="28"/>
                <w:szCs w:val="28"/>
                <w:shd w:val="clear" w:color="auto" w:fill="FFFF00"/>
                <w:lang w:val="en-GB"/>
              </w:rPr>
              <w:t>/</w:t>
            </w:r>
            <w:r w:rsidR="007F3E7E">
              <w:rPr>
                <w:rFonts w:asciiTheme="minorBidi" w:hAnsiTheme="minorBidi"/>
                <w:sz w:val="28"/>
                <w:szCs w:val="28"/>
                <w:shd w:val="clear" w:color="auto" w:fill="FFFF00"/>
                <w:lang w:val="en-GB"/>
              </w:rPr>
              <w:t>7</w:t>
            </w:r>
            <w:r w:rsidR="00F6440E">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7F3E7E">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7F3E7E">
              <w:rPr>
                <w:rFonts w:asciiTheme="minorBidi" w:hAnsiTheme="minorBidi"/>
                <w:sz w:val="28"/>
                <w:szCs w:val="28"/>
                <w:shd w:val="clear" w:color="auto" w:fill="FFFF00"/>
                <w:lang w:val="en-GB"/>
              </w:rPr>
              <w:t>8</w:t>
            </w:r>
            <w:r w:rsidR="00F6440E">
              <w:rPr>
                <w:rFonts w:asciiTheme="minorBidi" w:hAnsiTheme="minorBidi"/>
                <w:sz w:val="28"/>
                <w:szCs w:val="28"/>
                <w:shd w:val="clear" w:color="auto" w:fill="FFFF00"/>
                <w:lang w:val="en-GB"/>
              </w:rPr>
              <w:t>/</w:t>
            </w:r>
            <w:r w:rsidR="007F3E7E">
              <w:rPr>
                <w:rFonts w:asciiTheme="minorBidi" w:hAnsiTheme="minorBidi"/>
                <w:sz w:val="28"/>
                <w:szCs w:val="28"/>
                <w:shd w:val="clear" w:color="auto" w:fill="FFFF00"/>
                <w:lang w:val="en-GB"/>
              </w:rPr>
              <w:t>8</w:t>
            </w:r>
            <w:r w:rsidR="00F6440E">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F6440E" w:rsidRDefault="00B30368" w:rsidP="007F3E7E">
            <w:pPr>
              <w:numPr>
                <w:ilvl w:val="12"/>
                <w:numId w:val="0"/>
              </w:numPr>
              <w:shd w:val="clear" w:color="auto" w:fill="FFFF00"/>
              <w:spacing w:after="0"/>
              <w:jc w:val="both"/>
              <w:rPr>
                <w:rFonts w:asciiTheme="minorBidi" w:hAnsiTheme="minorBidi"/>
                <w:sz w:val="28"/>
                <w:szCs w:val="28"/>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F6440E">
              <w:rPr>
                <w:rFonts w:asciiTheme="minorBidi" w:hAnsiTheme="minorBidi"/>
                <w:sz w:val="28"/>
                <w:szCs w:val="28"/>
                <w:lang w:val="en-GB"/>
              </w:rPr>
              <w:t>91/2023/</w:t>
            </w:r>
            <w:r w:rsidR="007F3E7E">
              <w:rPr>
                <w:rFonts w:asciiTheme="minorBidi" w:hAnsiTheme="minorBidi"/>
                <w:sz w:val="28"/>
                <w:szCs w:val="28"/>
                <w:lang w:val="en-GB"/>
              </w:rPr>
              <w:t>94</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F6440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F6440E">
              <w:rPr>
                <w:rFonts w:asciiTheme="majorHAnsi" w:hAnsiTheme="majorHAnsi"/>
                <w:b/>
                <w:bCs/>
              </w:rPr>
              <w:t xml:space="preserve">Medical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B21DEF">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B21DEF">
              <w:rPr>
                <w:rFonts w:asciiTheme="minorBidi" w:hAnsiTheme="minorBidi"/>
                <w:sz w:val="28"/>
                <w:szCs w:val="28"/>
              </w:rPr>
              <w:t>11</w:t>
            </w:r>
            <w:r w:rsidR="00C948F3">
              <w:rPr>
                <w:rFonts w:asciiTheme="minorBidi" w:hAnsiTheme="minorBidi"/>
                <w:sz w:val="28"/>
                <w:szCs w:val="28"/>
              </w:rPr>
              <w:t>/</w:t>
            </w:r>
            <w:r w:rsidR="00B21DEF">
              <w:rPr>
                <w:rFonts w:asciiTheme="minorBidi" w:hAnsiTheme="minorBidi"/>
                <w:sz w:val="28"/>
                <w:szCs w:val="28"/>
              </w:rPr>
              <w:t>7/</w:t>
            </w:r>
            <w:r w:rsidR="00C948F3">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B21DEF">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C948F3">
              <w:rPr>
                <w:rFonts w:asciiTheme="minorBidi" w:hAnsiTheme="minorBidi"/>
                <w:sz w:val="28"/>
                <w:szCs w:val="28"/>
                <w:lang w:val="en-GB"/>
              </w:rPr>
              <w:t xml:space="preserve"> </w:t>
            </w:r>
            <w:r w:rsidR="00B21DEF">
              <w:rPr>
                <w:rFonts w:asciiTheme="minorBidi" w:hAnsiTheme="minorBidi"/>
                <w:sz w:val="28"/>
                <w:szCs w:val="28"/>
                <w:lang w:val="en-GB"/>
              </w:rPr>
              <w:t>12</w:t>
            </w:r>
            <w:r w:rsidR="00C948F3">
              <w:rPr>
                <w:rFonts w:asciiTheme="minorBidi" w:hAnsiTheme="minorBidi"/>
                <w:sz w:val="28"/>
                <w:szCs w:val="28"/>
                <w:lang w:val="en-GB"/>
              </w:rPr>
              <w:t>/</w:t>
            </w:r>
            <w:r w:rsidR="00B21DEF">
              <w:rPr>
                <w:rFonts w:asciiTheme="minorBidi" w:hAnsiTheme="minorBidi"/>
                <w:sz w:val="28"/>
                <w:szCs w:val="28"/>
                <w:lang w:val="en-GB"/>
              </w:rPr>
              <w:t>7</w:t>
            </w:r>
            <w:r w:rsidR="00C948F3">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hint="cs"/>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tbl>
      <w:tblPr>
        <w:bidiVisual/>
        <w:tblW w:w="10371" w:type="dxa"/>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9"/>
        <w:gridCol w:w="1701"/>
        <w:gridCol w:w="1134"/>
        <w:gridCol w:w="992"/>
        <w:gridCol w:w="3248"/>
        <w:gridCol w:w="2127"/>
      </w:tblGrid>
      <w:tr w:rsidR="00B21DEF" w:rsidRPr="007B308E" w:rsidTr="00312A40">
        <w:trPr>
          <w:trHeight w:val="610"/>
        </w:trPr>
        <w:tc>
          <w:tcPr>
            <w:tcW w:w="1169" w:type="dxa"/>
          </w:tcPr>
          <w:p w:rsidR="00B21DEF" w:rsidRPr="00CC6D6F" w:rsidRDefault="00B21DEF" w:rsidP="00312A40">
            <w:pPr>
              <w:tabs>
                <w:tab w:val="center" w:pos="4680"/>
                <w:tab w:val="right" w:pos="9360"/>
              </w:tabs>
              <w:jc w:val="center"/>
              <w:rPr>
                <w:rFonts w:cs="Times New Roman"/>
                <w:b/>
                <w:bCs/>
                <w:lang w:bidi="ar-IQ"/>
              </w:rPr>
            </w:pPr>
            <w:r w:rsidRPr="00CC6D6F">
              <w:rPr>
                <w:rFonts w:cs="Times New Roman"/>
                <w:b/>
                <w:bCs/>
                <w:lang w:bidi="ar-IQ"/>
              </w:rPr>
              <w:t>Quantity</w:t>
            </w:r>
          </w:p>
        </w:tc>
        <w:tc>
          <w:tcPr>
            <w:tcW w:w="1701" w:type="dxa"/>
          </w:tcPr>
          <w:p w:rsidR="00B21DEF" w:rsidRPr="00CC6D6F" w:rsidRDefault="00B21DEF" w:rsidP="00312A40">
            <w:pPr>
              <w:tabs>
                <w:tab w:val="center" w:pos="4680"/>
                <w:tab w:val="right" w:pos="9360"/>
              </w:tabs>
              <w:jc w:val="center"/>
              <w:rPr>
                <w:rFonts w:cs="Times New Roman"/>
                <w:b/>
                <w:bCs/>
                <w:lang w:bidi="ar-IQ"/>
              </w:rPr>
            </w:pPr>
            <w:r w:rsidRPr="00CC6D6F">
              <w:rPr>
                <w:rFonts w:cs="Times New Roman"/>
                <w:b/>
                <w:bCs/>
                <w:lang w:bidi="ar-IQ"/>
              </w:rPr>
              <w:t>origin</w:t>
            </w:r>
          </w:p>
        </w:tc>
        <w:tc>
          <w:tcPr>
            <w:tcW w:w="1134" w:type="dxa"/>
          </w:tcPr>
          <w:p w:rsidR="00B21DEF" w:rsidRPr="00CC6D6F" w:rsidRDefault="00B21DEF" w:rsidP="00312A40">
            <w:pPr>
              <w:tabs>
                <w:tab w:val="center" w:pos="4680"/>
                <w:tab w:val="right" w:pos="9360"/>
              </w:tabs>
              <w:jc w:val="center"/>
              <w:rPr>
                <w:rFonts w:cs="Times New Roman"/>
                <w:b/>
                <w:bCs/>
                <w:rtl/>
                <w:lang w:bidi="ar-IQ"/>
              </w:rPr>
            </w:pPr>
            <w:r w:rsidRPr="00CC6D6F">
              <w:rPr>
                <w:rFonts w:cs="Times New Roman"/>
                <w:b/>
                <w:bCs/>
                <w:lang w:bidi="ar-IQ"/>
              </w:rPr>
              <w:t xml:space="preserve">Estimated price in </w:t>
            </w:r>
            <w:proofErr w:type="spellStart"/>
            <w:r w:rsidRPr="00CC6D6F">
              <w:rPr>
                <w:rFonts w:cs="Times New Roman"/>
                <w:b/>
                <w:bCs/>
                <w:lang w:bidi="ar-IQ"/>
              </w:rPr>
              <w:t>usd</w:t>
            </w:r>
            <w:proofErr w:type="spellEnd"/>
          </w:p>
        </w:tc>
        <w:tc>
          <w:tcPr>
            <w:tcW w:w="992" w:type="dxa"/>
          </w:tcPr>
          <w:p w:rsidR="00B21DEF" w:rsidRPr="00CC6D6F" w:rsidRDefault="00B21DEF" w:rsidP="00312A40">
            <w:pPr>
              <w:tabs>
                <w:tab w:val="center" w:pos="4680"/>
                <w:tab w:val="right" w:pos="9360"/>
              </w:tabs>
              <w:jc w:val="center"/>
              <w:rPr>
                <w:rFonts w:cs="Times New Roman"/>
                <w:b/>
                <w:bCs/>
                <w:lang w:bidi="ar-IQ"/>
              </w:rPr>
            </w:pPr>
            <w:proofErr w:type="spellStart"/>
            <w:r w:rsidRPr="00CC6D6F">
              <w:rPr>
                <w:rFonts w:cs="Times New Roman"/>
                <w:b/>
                <w:bCs/>
                <w:lang w:bidi="ar-IQ"/>
              </w:rPr>
              <w:t>uom</w:t>
            </w:r>
            <w:proofErr w:type="spellEnd"/>
          </w:p>
        </w:tc>
        <w:tc>
          <w:tcPr>
            <w:tcW w:w="3248" w:type="dxa"/>
          </w:tcPr>
          <w:p w:rsidR="00B21DEF" w:rsidRPr="00CC6D6F" w:rsidRDefault="00B21DEF" w:rsidP="00312A40">
            <w:pPr>
              <w:tabs>
                <w:tab w:val="center" w:pos="4680"/>
                <w:tab w:val="right" w:pos="9360"/>
              </w:tabs>
              <w:jc w:val="center"/>
              <w:rPr>
                <w:rFonts w:cs="Times New Roman"/>
                <w:b/>
                <w:bCs/>
                <w:lang w:bidi="ar-IQ"/>
              </w:rPr>
            </w:pPr>
            <w:r w:rsidRPr="00CC6D6F">
              <w:rPr>
                <w:rFonts w:cs="Times New Roman"/>
                <w:b/>
                <w:bCs/>
                <w:lang w:bidi="ar-IQ"/>
              </w:rPr>
              <w:t>Item description</w:t>
            </w:r>
          </w:p>
        </w:tc>
        <w:tc>
          <w:tcPr>
            <w:tcW w:w="2127" w:type="dxa"/>
          </w:tcPr>
          <w:p w:rsidR="00B21DEF" w:rsidRPr="00CC6D6F" w:rsidRDefault="00B21DEF" w:rsidP="00312A40">
            <w:pPr>
              <w:tabs>
                <w:tab w:val="center" w:pos="4680"/>
                <w:tab w:val="right" w:pos="9360"/>
              </w:tabs>
              <w:jc w:val="center"/>
              <w:rPr>
                <w:rFonts w:cs="Times New Roman"/>
                <w:b/>
                <w:bCs/>
                <w:lang w:bidi="ar-IQ"/>
              </w:rPr>
            </w:pPr>
            <w:r w:rsidRPr="00CC6D6F">
              <w:rPr>
                <w:rFonts w:cs="Times New Roman"/>
                <w:b/>
                <w:bCs/>
                <w:lang w:bidi="ar-IQ"/>
              </w:rPr>
              <w:t>National code</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775</w:t>
            </w:r>
          </w:p>
        </w:tc>
        <w:tc>
          <w:tcPr>
            <w:tcW w:w="1701" w:type="dxa"/>
          </w:tcPr>
          <w:p w:rsidR="00B21DEF" w:rsidRPr="004B047B" w:rsidRDefault="00B21DEF" w:rsidP="00312A40">
            <w:pPr>
              <w:tabs>
                <w:tab w:val="center" w:pos="4680"/>
                <w:tab w:val="right" w:pos="9360"/>
              </w:tabs>
              <w:jc w:val="center"/>
              <w:rPr>
                <w:rFonts w:cs="Times New Roman"/>
                <w:rtl/>
                <w:lang w:bidi="ar-IQ"/>
              </w:rPr>
            </w:pPr>
            <w:r>
              <w:rPr>
                <w:rFonts w:cs="Times New Roman" w:hint="cs"/>
                <w:rtl/>
                <w:lang w:bidi="ar-IQ"/>
              </w:rPr>
              <w:t>أمريكي ، اوربي، ياباني</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150</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breast implant</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PLA-DE00-001</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2637</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100</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br/>
              <w:t xml:space="preserve">Tissue expanders various sizes + volumes </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PLA-DE00-002</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3181</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12</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Adherent silicone dressing</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PLA-DE00-003</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4343</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11.37</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proofErr w:type="spellStart"/>
            <w:r w:rsidRPr="00CC6D6F">
              <w:rPr>
                <w:rFonts w:ascii="Arial" w:hAnsi="Arial"/>
                <w:color w:val="000000"/>
              </w:rPr>
              <w:t>Vacum</w:t>
            </w:r>
            <w:proofErr w:type="spellEnd"/>
            <w:r w:rsidRPr="00CC6D6F">
              <w:rPr>
                <w:rFonts w:ascii="Arial" w:hAnsi="Arial"/>
                <w:color w:val="000000"/>
              </w:rPr>
              <w:t xml:space="preserve"> Drains with </w:t>
            </w:r>
            <w:proofErr w:type="spellStart"/>
            <w:r w:rsidRPr="00CC6D6F">
              <w:rPr>
                <w:rFonts w:ascii="Arial" w:hAnsi="Arial"/>
                <w:color w:val="000000"/>
              </w:rPr>
              <w:t>silastic</w:t>
            </w:r>
            <w:proofErr w:type="spellEnd"/>
            <w:r w:rsidRPr="00CC6D6F">
              <w:rPr>
                <w:rFonts w:ascii="Arial" w:hAnsi="Arial"/>
                <w:color w:val="000000"/>
              </w:rPr>
              <w:t xml:space="preserve"> tubes.</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PLA-DE00-004</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lastRenderedPageBreak/>
              <w:t>1495</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16.84</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C.V. catheter</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PLA-DE00-007</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1336</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USA</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6.35</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to2  expansion ratio    </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PLA-DE00-008</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2253</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USA</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7</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to3  expansion ratio      </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PLA-DE00-009</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1124</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USA</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8.63</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 4  expansion ratio          </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PLA-DE00-010</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931</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USA</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8.63</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 xml:space="preserve"> Derma </w:t>
            </w:r>
            <w:proofErr w:type="spellStart"/>
            <w:r w:rsidRPr="00CC6D6F">
              <w:rPr>
                <w:rFonts w:ascii="Arial" w:hAnsi="Arial"/>
                <w:color w:val="000000"/>
              </w:rPr>
              <w:t>Carriess</w:t>
            </w:r>
            <w:proofErr w:type="spellEnd"/>
            <w:r w:rsidRPr="00CC6D6F">
              <w:rPr>
                <w:rFonts w:ascii="Arial" w:hAnsi="Arial"/>
                <w:color w:val="000000"/>
              </w:rPr>
              <w:t xml:space="preserve"> - (skin graft carries  1 to6  expansion ratio           </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PLA-DE00-011</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5125</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USA</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10.77</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 xml:space="preserve"> Zimmer Dermatome blades</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PLA-DE00-020</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4899</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UK</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31 for      1 PCS</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Pack</w:t>
            </w:r>
            <w:r>
              <w:rPr>
                <w:rFonts w:ascii="Arial" w:hAnsi="Arial"/>
                <w:color w:val="000000"/>
              </w:rPr>
              <w:t xml:space="preserve"> </w:t>
            </w:r>
            <w:r w:rsidRPr="00EA7FA1">
              <w:rPr>
                <w:rFonts w:ascii="Arial" w:hAnsi="Arial"/>
                <w:color w:val="000000"/>
              </w:rPr>
              <w:t>(10pcs)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skin graft knife blades</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PLA-DE00-021</w:t>
            </w:r>
          </w:p>
        </w:tc>
      </w:tr>
      <w:tr w:rsidR="00B21DEF" w:rsidRPr="007B308E" w:rsidTr="00312A40">
        <w:tc>
          <w:tcPr>
            <w:tcW w:w="1169" w:type="dxa"/>
            <w:vAlign w:val="bottom"/>
          </w:tcPr>
          <w:p w:rsidR="00B21DEF" w:rsidRDefault="00B21DEF" w:rsidP="00312A40">
            <w:pPr>
              <w:jc w:val="center"/>
              <w:rPr>
                <w:rFonts w:ascii="Arial" w:hAnsi="Arial"/>
                <w:color w:val="000000"/>
              </w:rPr>
            </w:pPr>
            <w:r>
              <w:rPr>
                <w:rFonts w:ascii="Arial" w:hAnsi="Arial"/>
                <w:color w:val="000000"/>
              </w:rPr>
              <w:t>300</w:t>
            </w:r>
          </w:p>
        </w:tc>
        <w:tc>
          <w:tcPr>
            <w:tcW w:w="1701" w:type="dxa"/>
          </w:tcPr>
          <w:p w:rsidR="00B21DEF" w:rsidRPr="004B047B" w:rsidRDefault="00B21DEF" w:rsidP="00312A40">
            <w:pPr>
              <w:tabs>
                <w:tab w:val="center" w:pos="4680"/>
                <w:tab w:val="right" w:pos="9360"/>
              </w:tabs>
              <w:jc w:val="center"/>
              <w:rPr>
                <w:rFonts w:cs="Times New Roman"/>
                <w:lang w:bidi="ar-IQ"/>
              </w:rPr>
            </w:pPr>
            <w:r>
              <w:rPr>
                <w:rFonts w:cs="Times New Roman" w:hint="cs"/>
                <w:rtl/>
                <w:lang w:bidi="ar-IQ"/>
              </w:rPr>
              <w:t>أمريكي ، اوربي، ياباني</w:t>
            </w:r>
          </w:p>
        </w:tc>
        <w:tc>
          <w:tcPr>
            <w:tcW w:w="1134" w:type="dxa"/>
          </w:tcPr>
          <w:p w:rsidR="00B21DEF" w:rsidRPr="004B047B" w:rsidRDefault="00B21DEF" w:rsidP="00312A40">
            <w:pPr>
              <w:tabs>
                <w:tab w:val="center" w:pos="4680"/>
                <w:tab w:val="right" w:pos="9360"/>
              </w:tabs>
              <w:jc w:val="center"/>
              <w:rPr>
                <w:rFonts w:cs="Times New Roman"/>
                <w:lang w:bidi="ar-IQ"/>
              </w:rPr>
            </w:pPr>
            <w:r>
              <w:rPr>
                <w:rFonts w:cs="Times New Roman"/>
                <w:lang w:bidi="ar-IQ"/>
              </w:rPr>
              <w:t>7.7</w:t>
            </w:r>
          </w:p>
        </w:tc>
        <w:tc>
          <w:tcPr>
            <w:tcW w:w="992" w:type="dxa"/>
            <w:vAlign w:val="center"/>
          </w:tcPr>
          <w:p w:rsidR="00B21DEF" w:rsidRPr="00EA7FA1" w:rsidRDefault="00B21DEF" w:rsidP="00312A40">
            <w:pPr>
              <w:jc w:val="center"/>
              <w:rPr>
                <w:rFonts w:ascii="Arial" w:hAnsi="Arial"/>
                <w:color w:val="000000"/>
              </w:rPr>
            </w:pPr>
            <w:r w:rsidRPr="00EA7FA1">
              <w:rPr>
                <w:rFonts w:ascii="Arial" w:hAnsi="Arial"/>
                <w:color w:val="000000"/>
              </w:rPr>
              <w:t>PCS</w:t>
            </w:r>
          </w:p>
        </w:tc>
        <w:tc>
          <w:tcPr>
            <w:tcW w:w="3248" w:type="dxa"/>
            <w:vAlign w:val="center"/>
          </w:tcPr>
          <w:p w:rsidR="00B21DEF" w:rsidRPr="00CC6D6F" w:rsidRDefault="00B21DEF" w:rsidP="00312A40">
            <w:pPr>
              <w:jc w:val="center"/>
              <w:rPr>
                <w:rFonts w:ascii="Arial" w:hAnsi="Arial"/>
                <w:color w:val="000000"/>
              </w:rPr>
            </w:pPr>
            <w:r w:rsidRPr="00CC6D6F">
              <w:rPr>
                <w:rFonts w:ascii="Arial" w:hAnsi="Arial"/>
                <w:color w:val="000000"/>
              </w:rPr>
              <w:t>Surgical suction and irrigation mat</w:t>
            </w:r>
          </w:p>
        </w:tc>
        <w:tc>
          <w:tcPr>
            <w:tcW w:w="2127" w:type="dxa"/>
            <w:vAlign w:val="center"/>
          </w:tcPr>
          <w:p w:rsidR="00B21DEF" w:rsidRPr="00CC6D6F" w:rsidRDefault="00B21DEF" w:rsidP="00312A40">
            <w:pPr>
              <w:jc w:val="center"/>
              <w:rPr>
                <w:rFonts w:ascii="Arial" w:hAnsi="Arial"/>
                <w:color w:val="000000"/>
              </w:rPr>
            </w:pPr>
            <w:r w:rsidRPr="00CC6D6F">
              <w:rPr>
                <w:rFonts w:ascii="Arial" w:hAnsi="Arial"/>
                <w:color w:val="000000"/>
              </w:rPr>
              <w:t>PLA-DE00-023</w:t>
            </w: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CD3" w:rsidRDefault="00FB1CD3" w:rsidP="00C10F59">
      <w:pPr>
        <w:spacing w:after="0" w:line="240" w:lineRule="auto"/>
      </w:pPr>
      <w:r>
        <w:separator/>
      </w:r>
    </w:p>
  </w:endnote>
  <w:endnote w:type="continuationSeparator" w:id="0">
    <w:p w:rsidR="00FB1CD3" w:rsidRDefault="00FB1CD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EF" w:rsidRDefault="00B21D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rsidP="0033333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r>
      <w:rPr>
        <w:rFonts w:asciiTheme="majorHAnsi" w:hAnsiTheme="majorHAnsi"/>
        <w:b/>
        <w:bCs/>
      </w:rPr>
      <w:t>94</w:t>
    </w:r>
    <w:proofErr w:type="gramStart"/>
    <w:r>
      <w:rPr>
        <w:rFonts w:asciiTheme="majorHAnsi" w:hAnsiTheme="majorHAnsi"/>
        <w:b/>
        <w:bCs/>
      </w:rPr>
      <w:t>,  Medical</w:t>
    </w:r>
    <w:proofErr w:type="gramEnd"/>
    <w:r>
      <w:rPr>
        <w:rFonts w:asciiTheme="majorHAnsi" w:hAnsiTheme="majorHAnsi"/>
        <w:b/>
        <w:bCs/>
      </w:rPr>
      <w:t xml:space="preserve"> Appliances</w:t>
    </w:r>
    <w:r>
      <w:rPr>
        <w:rFonts w:asciiTheme="majorHAnsi" w:hAnsiTheme="majorHAnsi"/>
      </w:rPr>
      <w:t xml:space="preserve"> ( CIP )</w:t>
    </w:r>
  </w:p>
  <w:p w:rsidR="007F3E7E" w:rsidRDefault="007F3E7E"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F3E7E" w:rsidRPr="009E776D" w:rsidRDefault="007F3E7E"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F3E7E" w:rsidRDefault="007F3E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EF" w:rsidRDefault="00B21DE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rsidP="00B21DE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r w:rsidR="00B21DEF">
      <w:rPr>
        <w:rFonts w:asciiTheme="majorHAnsi" w:hAnsiTheme="majorHAnsi"/>
        <w:b/>
        <w:bCs/>
      </w:rPr>
      <w:t>94</w:t>
    </w:r>
    <w:proofErr w:type="gramStart"/>
    <w:r>
      <w:rPr>
        <w:rFonts w:asciiTheme="majorHAnsi" w:hAnsiTheme="majorHAnsi"/>
        <w:b/>
        <w:bCs/>
      </w:rPr>
      <w:t>,  Medical</w:t>
    </w:r>
    <w:proofErr w:type="gramEnd"/>
    <w:r>
      <w:rPr>
        <w:rFonts w:asciiTheme="majorHAnsi" w:hAnsiTheme="majorHAnsi"/>
        <w:b/>
        <w:bCs/>
      </w:rPr>
      <w:t xml:space="preserve"> Appliances</w:t>
    </w:r>
    <w:r w:rsidR="00B21DEF">
      <w:rPr>
        <w:rFonts w:asciiTheme="majorHAnsi" w:hAnsiTheme="majorHAnsi"/>
        <w:b/>
        <w:bCs/>
      </w:rPr>
      <w:t xml:space="preserve"> ( CIP )</w:t>
    </w:r>
    <w:bookmarkStart w:id="147" w:name="_GoBack"/>
    <w:bookmarkEnd w:id="147"/>
  </w:p>
  <w:p w:rsidR="007F3E7E" w:rsidRDefault="007F3E7E"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F3E7E" w:rsidRPr="009E776D" w:rsidRDefault="007F3E7E"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F3E7E" w:rsidRDefault="007F3E7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21DEF" w:rsidRPr="00B21DEF">
      <w:rPr>
        <w:rFonts w:asciiTheme="majorHAnsi" w:hAnsiTheme="majorHAnsi"/>
        <w:noProof/>
      </w:rPr>
      <w:t>116</w:t>
    </w:r>
    <w:r>
      <w:rPr>
        <w:rFonts w:asciiTheme="majorHAnsi" w:hAnsiTheme="majorHAnsi"/>
        <w:noProof/>
      </w:rPr>
      <w:fldChar w:fldCharType="end"/>
    </w:r>
  </w:p>
  <w:p w:rsidR="007F3E7E" w:rsidRDefault="007F3E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CD3" w:rsidRDefault="00FB1CD3" w:rsidP="00C10F59">
      <w:pPr>
        <w:spacing w:after="0" w:line="240" w:lineRule="auto"/>
      </w:pPr>
      <w:r>
        <w:separator/>
      </w:r>
    </w:p>
  </w:footnote>
  <w:footnote w:type="continuationSeparator" w:id="0">
    <w:p w:rsidR="00FB1CD3" w:rsidRDefault="00FB1CD3"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EF" w:rsidRDefault="00B21D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21DEF">
      <w:rPr>
        <w:rStyle w:val="PageNumber"/>
        <w:noProof/>
      </w:rPr>
      <w:t>61</w:t>
    </w:r>
    <w:r>
      <w:rPr>
        <w:rStyle w:val="PageNumber"/>
      </w:rPr>
      <w:fldChar w:fldCharType="end"/>
    </w:r>
  </w:p>
  <w:p w:rsidR="007F3E7E" w:rsidRDefault="007F3E7E">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21DEF">
      <w:rPr>
        <w:rStyle w:val="PageNumber"/>
        <w:noProof/>
      </w:rPr>
      <w:t>62</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21DEF">
      <w:rPr>
        <w:rStyle w:val="PageNumber"/>
        <w:noProof/>
        <w:sz w:val="20"/>
      </w:rPr>
      <w:t>77</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21DEF">
      <w:rPr>
        <w:noProof/>
      </w:rPr>
      <w:t>69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21DEF">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Pr="00AB30CE" w:rsidRDefault="007F3E7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F3E7E" w:rsidRDefault="007F3E7E" w:rsidP="001420A4">
    <w:pPr>
      <w:pStyle w:val="Header"/>
      <w:pBdr>
        <w:bottom w:val="single" w:sz="4" w:space="1" w:color="auto"/>
      </w:pBdr>
    </w:pPr>
    <w:r>
      <w:tab/>
    </w:r>
    <w:r>
      <w:fldChar w:fldCharType="begin"/>
    </w:r>
    <w:r>
      <w:instrText xml:space="preserve"> PAGE </w:instrText>
    </w:r>
    <w:r>
      <w:fldChar w:fldCharType="separate"/>
    </w:r>
    <w:r w:rsidR="00B21DEF">
      <w:rPr>
        <w:noProof/>
      </w:rPr>
      <w:t>116</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7E" w:rsidRDefault="007F3E7E">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21DEF">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450A"/>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3339"/>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C545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648A"/>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37F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3E7E"/>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11"/>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1DEF"/>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71B"/>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948F3"/>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440E"/>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847"/>
    <w:rsid w:val="00FA19EE"/>
    <w:rsid w:val="00FA3928"/>
    <w:rsid w:val="00FA5475"/>
    <w:rsid w:val="00FB1CD3"/>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A8D"/>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64053-63A6-4B6E-AADE-BC888CBE7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130</Pages>
  <Words>31384</Words>
  <Characters>178893</Characters>
  <Application>Microsoft Office Word</Application>
  <DocSecurity>0</DocSecurity>
  <Lines>1490</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101</cp:revision>
  <cp:lastPrinted>2023-02-13T10:01:00Z</cp:lastPrinted>
  <dcterms:created xsi:type="dcterms:W3CDTF">2022-01-11T22:14:00Z</dcterms:created>
  <dcterms:modified xsi:type="dcterms:W3CDTF">2023-06-12T07:27:00Z</dcterms:modified>
</cp:coreProperties>
</file>