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93DE3">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393DE3">
              <w:rPr>
                <w:rFonts w:ascii="Simplified Arabic" w:hAnsi="Simplified Arabic" w:cs="Simplified Arabic"/>
                <w:b/>
                <w:bCs/>
                <w:color w:val="000000"/>
                <w:sz w:val="24"/>
                <w:szCs w:val="24"/>
                <w:highlight w:val="cyan"/>
                <w:lang w:bidi="ar-LB"/>
              </w:rPr>
              <w:t>8</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393DE3">
              <w:rPr>
                <w:sz w:val="24"/>
                <w:szCs w:val="24"/>
              </w:rPr>
              <w:t>Aa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393DE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393DE3">
              <w:rPr>
                <w:rFonts w:ascii="Arial" w:hAnsi="Arial"/>
                <w:sz w:val="24"/>
                <w:szCs w:val="24"/>
                <w:highlight w:val="cyan"/>
              </w:rPr>
              <w:t>11</w:t>
            </w:r>
            <w:r w:rsidRPr="008D12BA">
              <w:rPr>
                <w:rFonts w:ascii="Arial" w:hAnsi="Arial"/>
                <w:sz w:val="24"/>
                <w:szCs w:val="24"/>
                <w:highlight w:val="cyan"/>
              </w:rPr>
              <w:t xml:space="preserve"> /</w:t>
            </w:r>
            <w:r w:rsidR="00393DE3">
              <w:rPr>
                <w:rFonts w:ascii="Arial" w:hAnsi="Arial"/>
                <w:sz w:val="24"/>
                <w:szCs w:val="24"/>
                <w:highlight w:val="cyan"/>
              </w:rPr>
              <w:t>6</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393DE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393DE3">
              <w:rPr>
                <w:rFonts w:ascii="Arial" w:hAnsi="Arial"/>
                <w:spacing w:val="-2"/>
                <w:sz w:val="24"/>
                <w:szCs w:val="24"/>
                <w:highlight w:val="cyan"/>
              </w:rPr>
              <w:t>8</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393DE3">
              <w:rPr>
                <w:rFonts w:ascii="Arial" w:hAnsi="Arial"/>
                <w:spacing w:val="-2"/>
                <w:sz w:val="24"/>
                <w:szCs w:val="24"/>
                <w:highlight w:val="cyan"/>
              </w:rPr>
              <w:t>Aa</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393DE3">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393DE3">
              <w:rPr>
                <w:sz w:val="24"/>
                <w:szCs w:val="24"/>
              </w:rPr>
              <w:t>11</w:t>
            </w:r>
            <w:r w:rsidRPr="008D12BA">
              <w:rPr>
                <w:sz w:val="24"/>
                <w:szCs w:val="24"/>
                <w:highlight w:val="cyan"/>
              </w:rPr>
              <w:t xml:space="preserve">/ </w:t>
            </w:r>
            <w:proofErr w:type="gramStart"/>
            <w:r w:rsidR="00393DE3">
              <w:rPr>
                <w:sz w:val="24"/>
                <w:szCs w:val="24"/>
                <w:highlight w:val="cyan"/>
              </w:rPr>
              <w:t>6</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393DE3">
              <w:rPr>
                <w:sz w:val="24"/>
                <w:szCs w:val="24"/>
                <w:highlight w:val="cyan"/>
              </w:rPr>
              <w:t>19</w:t>
            </w:r>
            <w:r w:rsidRPr="008D12BA">
              <w:rPr>
                <w:sz w:val="24"/>
                <w:szCs w:val="24"/>
                <w:highlight w:val="cyan"/>
              </w:rPr>
              <w:t xml:space="preserve"> /     </w:t>
            </w:r>
            <w:r w:rsidR="00393DE3">
              <w:rPr>
                <w:sz w:val="24"/>
                <w:szCs w:val="24"/>
                <w:highlight w:val="cyan"/>
              </w:rPr>
              <w:t>6</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393DE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6B7AFA">
              <w:rPr>
                <w:rFonts w:ascii="Arial" w:hAnsi="Arial"/>
                <w:sz w:val="24"/>
                <w:szCs w:val="24"/>
                <w:highlight w:val="cyan"/>
              </w:rPr>
              <w:t xml:space="preserve"> </w:t>
            </w:r>
            <w:r w:rsidR="00393DE3">
              <w:rPr>
                <w:rFonts w:ascii="Arial" w:hAnsi="Arial"/>
                <w:sz w:val="24"/>
                <w:szCs w:val="24"/>
                <w:highlight w:val="cyan"/>
              </w:rPr>
              <w:t>25</w:t>
            </w:r>
            <w:r w:rsidRPr="008D12BA">
              <w:rPr>
                <w:rFonts w:ascii="Arial" w:hAnsi="Arial"/>
                <w:sz w:val="24"/>
                <w:szCs w:val="24"/>
                <w:highlight w:val="cyan"/>
              </w:rPr>
              <w:t xml:space="preserve"> / </w:t>
            </w:r>
            <w:proofErr w:type="gramStart"/>
            <w:r w:rsidR="006B7AFA">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393DE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93DE3">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393DE3">
              <w:rPr>
                <w:rFonts w:ascii="Arial" w:eastAsia="Times New Roman" w:hAnsi="Arial"/>
                <w:b/>
                <w:bCs/>
                <w:sz w:val="24"/>
                <w:szCs w:val="24"/>
                <w:u w:val="single"/>
              </w:rPr>
              <w:t>Aa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393DE3">
            <w:pPr>
              <w:tabs>
                <w:tab w:val="left" w:pos="1470"/>
              </w:tabs>
              <w:bidi/>
              <w:jc w:val="right"/>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8B61C1">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393DE3" w:rsidRPr="00844D38" w:rsidTr="00F64F37">
        <w:trPr>
          <w:trHeight w:val="1488"/>
        </w:trPr>
        <w:tc>
          <w:tcPr>
            <w:tcW w:w="704"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1</w:t>
            </w:r>
          </w:p>
        </w:tc>
        <w:tc>
          <w:tcPr>
            <w:tcW w:w="1415"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15-B00-129</w:t>
            </w:r>
          </w:p>
        </w:tc>
        <w:tc>
          <w:tcPr>
            <w:tcW w:w="2951" w:type="dxa"/>
            <w:vAlign w:val="center"/>
          </w:tcPr>
          <w:p w:rsidR="00393DE3" w:rsidRPr="00262296" w:rsidRDefault="00393DE3" w:rsidP="00933201">
            <w:pPr>
              <w:jc w:val="center"/>
              <w:rPr>
                <w:rFonts w:ascii="Arial" w:eastAsia="Times New Roman" w:hAnsi="Arial" w:cs="Arial"/>
                <w:b/>
                <w:bCs/>
                <w:color w:val="000000"/>
                <w:sz w:val="20"/>
                <w:szCs w:val="20"/>
              </w:rPr>
            </w:pPr>
            <w:proofErr w:type="spellStart"/>
            <w:r w:rsidRPr="00262296">
              <w:rPr>
                <w:rFonts w:ascii="Arial" w:eastAsia="Times New Roman" w:hAnsi="Arial" w:cs="Arial"/>
                <w:b/>
                <w:bCs/>
                <w:color w:val="000000"/>
                <w:sz w:val="20"/>
                <w:szCs w:val="20"/>
              </w:rPr>
              <w:t>Nintedanib</w:t>
            </w:r>
            <w:proofErr w:type="spellEnd"/>
            <w:r w:rsidRPr="00262296">
              <w:rPr>
                <w:rFonts w:ascii="Arial" w:eastAsia="Times New Roman" w:hAnsi="Arial" w:cs="Arial"/>
                <w:b/>
                <w:bCs/>
                <w:color w:val="000000"/>
                <w:sz w:val="20"/>
                <w:szCs w:val="20"/>
              </w:rPr>
              <w:t xml:space="preserve"> 100mg as </w:t>
            </w:r>
            <w:proofErr w:type="spellStart"/>
            <w:r w:rsidRPr="00262296">
              <w:rPr>
                <w:rFonts w:ascii="Arial" w:eastAsia="Times New Roman" w:hAnsi="Arial" w:cs="Arial"/>
                <w:b/>
                <w:bCs/>
                <w:color w:val="000000"/>
                <w:sz w:val="20"/>
                <w:szCs w:val="20"/>
              </w:rPr>
              <w:t>esilate</w:t>
            </w:r>
            <w:proofErr w:type="spellEnd"/>
            <w:r w:rsidRPr="00262296">
              <w:rPr>
                <w:rFonts w:ascii="Arial" w:eastAsia="Times New Roman" w:hAnsi="Arial" w:cs="Arial"/>
                <w:b/>
                <w:bCs/>
                <w:color w:val="000000"/>
                <w:sz w:val="20"/>
                <w:szCs w:val="20"/>
              </w:rPr>
              <w:t xml:space="preserve"> soft capsule</w:t>
            </w:r>
          </w:p>
        </w:tc>
        <w:tc>
          <w:tcPr>
            <w:tcW w:w="1276" w:type="dxa"/>
            <w:vAlign w:val="center"/>
          </w:tcPr>
          <w:p w:rsidR="00393DE3" w:rsidRPr="00262296" w:rsidRDefault="00393DE3" w:rsidP="00933201">
            <w:pPr>
              <w:jc w:val="center"/>
              <w:rPr>
                <w:rFonts w:ascii="Arial" w:eastAsia="Times New Roman" w:hAnsi="Arial" w:cs="Arial"/>
                <w:b/>
                <w:bCs/>
                <w:color w:val="000000"/>
                <w:sz w:val="20"/>
                <w:szCs w:val="20"/>
              </w:rPr>
            </w:pPr>
            <w:r w:rsidRPr="004C0719">
              <w:rPr>
                <w:rFonts w:ascii="Arial" w:eastAsia="Times New Roman" w:hAnsi="Arial" w:cs="Arial"/>
                <w:b/>
                <w:bCs/>
                <w:color w:val="000000"/>
                <w:sz w:val="20"/>
                <w:szCs w:val="20"/>
              </w:rPr>
              <w:t>10100</w:t>
            </w:r>
          </w:p>
        </w:tc>
        <w:tc>
          <w:tcPr>
            <w:tcW w:w="2104" w:type="dxa"/>
            <w:vAlign w:val="center"/>
          </w:tcPr>
          <w:p w:rsidR="00393DE3" w:rsidRPr="00262296" w:rsidRDefault="00393DE3" w:rsidP="00933201">
            <w:pPr>
              <w:bidi/>
              <w:jc w:val="center"/>
              <w:rPr>
                <w:rFonts w:ascii="Arial" w:eastAsia="Times New Roman" w:hAnsi="Arial" w:cs="Arial"/>
                <w:b/>
                <w:bCs/>
                <w:sz w:val="20"/>
                <w:szCs w:val="20"/>
              </w:rPr>
            </w:pPr>
            <w:r w:rsidRPr="00262296">
              <w:rPr>
                <w:rFonts w:ascii="Arial" w:eastAsia="Times New Roman" w:hAnsi="Arial" w:cs="Arial"/>
                <w:b/>
                <w:bCs/>
                <w:sz w:val="20"/>
                <w:szCs w:val="20"/>
                <w:rtl/>
              </w:rPr>
              <w:t>1133</w:t>
            </w:r>
            <w:r w:rsidRPr="00262296">
              <w:rPr>
                <w:rFonts w:ascii="Arial" w:eastAsia="Times New Roman" w:hAnsi="Arial" w:cs="Arial"/>
                <w:b/>
                <w:bCs/>
                <w:sz w:val="20"/>
                <w:szCs w:val="20"/>
                <w:rtl/>
              </w:rPr>
              <w:br/>
              <w:t>ويحصر استخدامها لعلاج حالات (</w:t>
            </w:r>
            <w:r w:rsidRPr="00262296">
              <w:rPr>
                <w:rFonts w:ascii="Arial" w:eastAsia="Times New Roman" w:hAnsi="Arial" w:cs="Arial"/>
                <w:b/>
                <w:bCs/>
                <w:sz w:val="20"/>
                <w:szCs w:val="20"/>
              </w:rPr>
              <w:t>Idiopathic Pulmonary Fibrosis</w:t>
            </w:r>
            <w:r w:rsidRPr="00262296">
              <w:rPr>
                <w:rFonts w:ascii="Arial" w:eastAsia="Times New Roman" w:hAnsi="Arial" w:cs="Arial"/>
                <w:b/>
                <w:bCs/>
                <w:sz w:val="20"/>
                <w:szCs w:val="20"/>
                <w:rtl/>
              </w:rPr>
              <w:t>) 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223"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60 cap</w:t>
            </w:r>
          </w:p>
        </w:tc>
        <w:tc>
          <w:tcPr>
            <w:tcW w:w="1267"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961.74</w:t>
            </w:r>
          </w:p>
        </w:tc>
        <w:tc>
          <w:tcPr>
            <w:tcW w:w="1267"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673</w:t>
            </w:r>
          </w:p>
        </w:tc>
        <w:tc>
          <w:tcPr>
            <w:tcW w:w="1127"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432</w:t>
            </w:r>
          </w:p>
        </w:tc>
        <w:tc>
          <w:tcPr>
            <w:tcW w:w="1267"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240</w:t>
            </w:r>
          </w:p>
        </w:tc>
      </w:tr>
      <w:tr w:rsidR="00393DE3" w:rsidRPr="00844D38" w:rsidTr="00F64F37">
        <w:trPr>
          <w:trHeight w:val="1488"/>
        </w:trPr>
        <w:tc>
          <w:tcPr>
            <w:tcW w:w="704"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2</w:t>
            </w:r>
          </w:p>
        </w:tc>
        <w:tc>
          <w:tcPr>
            <w:tcW w:w="1415"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15-B00-130</w:t>
            </w:r>
          </w:p>
        </w:tc>
        <w:tc>
          <w:tcPr>
            <w:tcW w:w="2951" w:type="dxa"/>
            <w:vAlign w:val="center"/>
          </w:tcPr>
          <w:p w:rsidR="00393DE3" w:rsidRPr="00262296" w:rsidRDefault="00393DE3" w:rsidP="00933201">
            <w:pPr>
              <w:jc w:val="center"/>
              <w:rPr>
                <w:rFonts w:ascii="Arial" w:eastAsia="Times New Roman" w:hAnsi="Arial" w:cs="Arial"/>
                <w:b/>
                <w:bCs/>
                <w:color w:val="000000"/>
                <w:sz w:val="20"/>
                <w:szCs w:val="20"/>
              </w:rPr>
            </w:pPr>
            <w:proofErr w:type="spellStart"/>
            <w:r w:rsidRPr="00262296">
              <w:rPr>
                <w:rFonts w:ascii="Arial" w:eastAsia="Times New Roman" w:hAnsi="Arial" w:cs="Arial"/>
                <w:b/>
                <w:bCs/>
                <w:color w:val="000000"/>
                <w:sz w:val="20"/>
                <w:szCs w:val="20"/>
              </w:rPr>
              <w:t>Nintedanib</w:t>
            </w:r>
            <w:proofErr w:type="spellEnd"/>
            <w:r w:rsidRPr="00262296">
              <w:rPr>
                <w:rFonts w:ascii="Arial" w:eastAsia="Times New Roman" w:hAnsi="Arial" w:cs="Arial"/>
                <w:b/>
                <w:bCs/>
                <w:color w:val="000000"/>
                <w:sz w:val="20"/>
                <w:szCs w:val="20"/>
              </w:rPr>
              <w:t xml:space="preserve"> 150mg (as </w:t>
            </w:r>
            <w:proofErr w:type="spellStart"/>
            <w:r w:rsidRPr="00262296">
              <w:rPr>
                <w:rFonts w:ascii="Arial" w:eastAsia="Times New Roman" w:hAnsi="Arial" w:cs="Arial"/>
                <w:b/>
                <w:bCs/>
                <w:color w:val="000000"/>
                <w:sz w:val="20"/>
                <w:szCs w:val="20"/>
              </w:rPr>
              <w:t>esilate</w:t>
            </w:r>
            <w:proofErr w:type="spellEnd"/>
            <w:r w:rsidRPr="00262296">
              <w:rPr>
                <w:rFonts w:ascii="Arial" w:eastAsia="Times New Roman" w:hAnsi="Arial" w:cs="Arial"/>
                <w:b/>
                <w:bCs/>
                <w:color w:val="000000"/>
                <w:sz w:val="20"/>
                <w:szCs w:val="20"/>
              </w:rPr>
              <w:t>) soft capsule</w:t>
            </w:r>
          </w:p>
          <w:p w:rsidR="00393DE3" w:rsidRPr="00262296" w:rsidRDefault="00393DE3" w:rsidP="00933201">
            <w:pPr>
              <w:jc w:val="center"/>
              <w:rPr>
                <w:rFonts w:ascii="Arial" w:eastAsia="Times New Roman" w:hAnsi="Arial" w:cs="Arial"/>
                <w:b/>
                <w:bCs/>
                <w:color w:val="000000"/>
                <w:sz w:val="20"/>
                <w:szCs w:val="20"/>
              </w:rPr>
            </w:pPr>
          </w:p>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tl/>
              </w:rPr>
              <w:t>تلتزم الشركة المجهزة بعلاج 20 مريض مجانا ولمدة عام ولعقد واحد فقط</w:t>
            </w:r>
          </w:p>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tl/>
              </w:rPr>
              <w:t>ويحصر استخدامها لعلاج حالات</w:t>
            </w:r>
            <w:r w:rsidRPr="00262296">
              <w:rPr>
                <w:rFonts w:ascii="Arial" w:eastAsia="Times New Roman" w:hAnsi="Arial" w:cs="Arial"/>
                <w:b/>
                <w:bCs/>
                <w:color w:val="000000"/>
                <w:sz w:val="20"/>
                <w:szCs w:val="20"/>
              </w:rPr>
              <w:t xml:space="preserve"> (Idiopathic Pulmonary Fibrosis) </w:t>
            </w:r>
            <w:r w:rsidRPr="00262296">
              <w:rPr>
                <w:rFonts w:ascii="Arial" w:eastAsia="Times New Roman" w:hAnsi="Arial" w:cs="Arial"/>
                <w:b/>
                <w:bCs/>
                <w:color w:val="000000"/>
                <w:sz w:val="20"/>
                <w:szCs w:val="2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p w:rsidR="00393DE3" w:rsidRPr="00262296" w:rsidRDefault="00393DE3" w:rsidP="00933201">
            <w:pPr>
              <w:jc w:val="center"/>
              <w:rPr>
                <w:rFonts w:ascii="Arial" w:eastAsia="Times New Roman" w:hAnsi="Arial" w:cs="Arial"/>
                <w:b/>
                <w:bCs/>
                <w:color w:val="000000"/>
                <w:sz w:val="20"/>
                <w:szCs w:val="20"/>
              </w:rPr>
            </w:pPr>
          </w:p>
        </w:tc>
        <w:tc>
          <w:tcPr>
            <w:tcW w:w="1276" w:type="dxa"/>
            <w:vAlign w:val="center"/>
          </w:tcPr>
          <w:p w:rsidR="00393DE3" w:rsidRPr="00262296" w:rsidRDefault="00393DE3" w:rsidP="00933201">
            <w:pPr>
              <w:jc w:val="center"/>
              <w:rPr>
                <w:rFonts w:ascii="Arial" w:eastAsia="Times New Roman" w:hAnsi="Arial" w:cs="Arial"/>
                <w:b/>
                <w:bCs/>
                <w:color w:val="000000"/>
                <w:sz w:val="20"/>
                <w:szCs w:val="20"/>
              </w:rPr>
            </w:pPr>
            <w:r w:rsidRPr="004C0719">
              <w:rPr>
                <w:rFonts w:ascii="Arial" w:eastAsia="Times New Roman" w:hAnsi="Arial" w:cs="Arial"/>
                <w:b/>
                <w:bCs/>
                <w:color w:val="000000"/>
                <w:sz w:val="20"/>
                <w:szCs w:val="20"/>
              </w:rPr>
              <w:t>33200</w:t>
            </w:r>
          </w:p>
        </w:tc>
        <w:tc>
          <w:tcPr>
            <w:tcW w:w="2104" w:type="dxa"/>
            <w:vAlign w:val="center"/>
          </w:tcPr>
          <w:p w:rsidR="00393DE3" w:rsidRPr="00262296" w:rsidRDefault="00393DE3" w:rsidP="00933201">
            <w:pPr>
              <w:bidi/>
              <w:jc w:val="center"/>
              <w:rPr>
                <w:rFonts w:ascii="Arial" w:eastAsia="Times New Roman" w:hAnsi="Arial" w:cs="Arial"/>
                <w:b/>
                <w:bCs/>
                <w:sz w:val="20"/>
                <w:szCs w:val="20"/>
              </w:rPr>
            </w:pPr>
            <w:r w:rsidRPr="00262296">
              <w:rPr>
                <w:rFonts w:ascii="Arial" w:eastAsia="Times New Roman" w:hAnsi="Arial" w:cs="Arial"/>
                <w:b/>
                <w:bCs/>
                <w:sz w:val="20"/>
                <w:szCs w:val="20"/>
                <w:rtl/>
              </w:rPr>
              <w:t>1133</w:t>
            </w:r>
            <w:r w:rsidRPr="00262296">
              <w:rPr>
                <w:rFonts w:ascii="Arial" w:eastAsia="Times New Roman" w:hAnsi="Arial" w:cs="Arial"/>
                <w:b/>
                <w:bCs/>
                <w:sz w:val="20"/>
                <w:szCs w:val="20"/>
                <w:rtl/>
              </w:rPr>
              <w:br/>
              <w:t>ويحصر استخدامها لعلاج حالات (</w:t>
            </w:r>
            <w:r w:rsidRPr="00262296">
              <w:rPr>
                <w:rFonts w:ascii="Arial" w:eastAsia="Times New Roman" w:hAnsi="Arial" w:cs="Arial"/>
                <w:b/>
                <w:bCs/>
                <w:sz w:val="20"/>
                <w:szCs w:val="20"/>
              </w:rPr>
              <w:t>Idiopathic Pulmonary Fibrosis</w:t>
            </w:r>
            <w:r w:rsidRPr="00262296">
              <w:rPr>
                <w:rFonts w:ascii="Arial" w:eastAsia="Times New Roman" w:hAnsi="Arial" w:cs="Arial"/>
                <w:b/>
                <w:bCs/>
                <w:sz w:val="20"/>
                <w:szCs w:val="20"/>
                <w:rtl/>
              </w:rPr>
              <w:t>) 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223"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60 cap</w:t>
            </w:r>
          </w:p>
        </w:tc>
        <w:tc>
          <w:tcPr>
            <w:tcW w:w="1267"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2010</w:t>
            </w:r>
          </w:p>
        </w:tc>
        <w:tc>
          <w:tcPr>
            <w:tcW w:w="1267"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1407</w:t>
            </w:r>
          </w:p>
        </w:tc>
        <w:tc>
          <w:tcPr>
            <w:tcW w:w="1127"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904</w:t>
            </w:r>
          </w:p>
        </w:tc>
        <w:tc>
          <w:tcPr>
            <w:tcW w:w="1267" w:type="dxa"/>
            <w:vAlign w:val="center"/>
          </w:tcPr>
          <w:p w:rsidR="00393DE3" w:rsidRPr="00262296" w:rsidRDefault="00393DE3" w:rsidP="00933201">
            <w:pPr>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502</w:t>
            </w:r>
          </w:p>
        </w:tc>
      </w:tr>
    </w:tbl>
    <w:p w:rsidR="00704953" w:rsidRDefault="00704953"/>
    <w:p w:rsidR="00704953" w:rsidRDefault="00704953"/>
    <w:p w:rsidR="00704953" w:rsidRDefault="00704953"/>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393DE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393DE3">
              <w:rPr>
                <w:rFonts w:ascii="Arial" w:hAnsi="Arial"/>
                <w:b/>
                <w:spacing w:val="-2"/>
                <w:sz w:val="24"/>
                <w:szCs w:val="24"/>
                <w:highlight w:val="cyan"/>
              </w:rPr>
              <w:t>8</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393DE3">
              <w:rPr>
                <w:rFonts w:ascii="Arial" w:hAnsi="Arial"/>
                <w:b/>
                <w:spacing w:val="-2"/>
                <w:sz w:val="24"/>
                <w:szCs w:val="24"/>
                <w:highlight w:val="cyan"/>
              </w:rPr>
              <w:t>Aa</w:t>
            </w:r>
            <w:r w:rsidR="00C5525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393DE3">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393DE3">
              <w:rPr>
                <w:rFonts w:ascii="Arial" w:hAnsi="Arial"/>
                <w:bCs/>
                <w:spacing w:val="-2"/>
                <w:sz w:val="24"/>
                <w:szCs w:val="24"/>
              </w:rPr>
              <w:t>8</w:t>
            </w:r>
            <w:r w:rsidR="00C55252">
              <w:rPr>
                <w:rFonts w:ascii="Arial" w:hAnsi="Arial"/>
                <w:bCs/>
                <w:spacing w:val="-2"/>
                <w:sz w:val="24"/>
                <w:szCs w:val="24"/>
              </w:rPr>
              <w:t>Aa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393DE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393DE3">
              <w:rPr>
                <w:rFonts w:ascii="Arial" w:hAnsi="Arial"/>
                <w:b/>
                <w:sz w:val="24"/>
                <w:szCs w:val="24"/>
                <w:highlight w:val="yellow"/>
                <w:lang w:val="en-GB"/>
              </w:rPr>
              <w:t>19</w:t>
            </w:r>
            <w:r w:rsidRPr="004D22E1">
              <w:rPr>
                <w:rFonts w:ascii="Arial" w:hAnsi="Arial"/>
                <w:b/>
                <w:sz w:val="24"/>
                <w:szCs w:val="24"/>
                <w:highlight w:val="yellow"/>
                <w:lang w:val="en-GB"/>
              </w:rPr>
              <w:t xml:space="preserve"> /  </w:t>
            </w:r>
            <w:r w:rsidR="00393DE3">
              <w:rPr>
                <w:rFonts w:ascii="Arial" w:hAnsi="Arial"/>
                <w:b/>
                <w:sz w:val="24"/>
                <w:szCs w:val="24"/>
                <w:highlight w:val="yellow"/>
                <w:lang w:val="en-GB"/>
              </w:rPr>
              <w:t>6</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393DE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393DE3">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  </w:t>
            </w:r>
            <w:r w:rsidR="006B7AFA">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393DE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393DE3">
              <w:rPr>
                <w:rFonts w:ascii="Arial Narrow" w:eastAsia="Calibri" w:hAnsi="Arial Narrow" w:cs="Arial"/>
                <w:sz w:val="24"/>
                <w:szCs w:val="24"/>
                <w:highlight w:val="cyan"/>
              </w:rPr>
              <w:t xml:space="preserve"> 23</w:t>
            </w:r>
            <w:r w:rsidRPr="004D22E1">
              <w:rPr>
                <w:rFonts w:ascii="Arial Narrow" w:eastAsia="Calibri" w:hAnsi="Arial Narrow" w:cs="Arial"/>
                <w:sz w:val="24"/>
                <w:szCs w:val="24"/>
                <w:highlight w:val="cyan"/>
              </w:rPr>
              <w:t xml:space="preserve">/ </w:t>
            </w:r>
            <w:r w:rsidR="00393DE3">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393DE3">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393DE3">
              <w:rPr>
                <w:rFonts w:ascii="Arial" w:hAnsi="Arial"/>
                <w:b/>
                <w:spacing w:val="-2"/>
                <w:sz w:val="24"/>
                <w:szCs w:val="24"/>
                <w:highlight w:val="yellow"/>
              </w:rPr>
              <w:t>8</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393DE3">
              <w:rPr>
                <w:rFonts w:ascii="Arial" w:hAnsi="Arial"/>
                <w:bCs/>
                <w:spacing w:val="-2"/>
                <w:sz w:val="24"/>
                <w:szCs w:val="24"/>
              </w:rPr>
              <w:t>Aa</w:t>
            </w:r>
          </w:p>
          <w:p w:rsidR="00672659" w:rsidRPr="004D22E1" w:rsidRDefault="00672659" w:rsidP="00393DE3">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393DE3">
              <w:rPr>
                <w:rFonts w:ascii="Arial" w:hAnsi="Arial"/>
                <w:bCs/>
                <w:spacing w:val="-2"/>
                <w:sz w:val="24"/>
                <w:szCs w:val="24"/>
                <w:u w:val="single"/>
              </w:rPr>
              <w:t>8Aa</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393DE3">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393DE3">
              <w:rPr>
                <w:rFonts w:ascii="Arial" w:hAnsi="Arial"/>
                <w:sz w:val="24"/>
                <w:szCs w:val="24"/>
                <w:highlight w:val="yellow"/>
                <w:lang w:val="en-GB"/>
              </w:rPr>
              <w:t>25</w:t>
            </w:r>
            <w:r w:rsidRPr="008C600C">
              <w:rPr>
                <w:rFonts w:ascii="Arial" w:hAnsi="Arial"/>
                <w:sz w:val="24"/>
                <w:szCs w:val="24"/>
                <w:highlight w:val="yellow"/>
                <w:lang w:val="en-GB"/>
              </w:rPr>
              <w:t xml:space="preserve">  /    </w:t>
            </w:r>
            <w:r w:rsidR="006B7AFA">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393DE3">
            <w:pPr>
              <w:spacing w:line="240" w:lineRule="exact"/>
              <w:rPr>
                <w:rFonts w:ascii="Arial" w:hAnsi="Arial"/>
                <w:bCs/>
                <w:sz w:val="24"/>
                <w:szCs w:val="24"/>
                <w:lang w:val="en-GB"/>
              </w:rPr>
            </w:pPr>
            <w:r w:rsidRPr="004D22E1">
              <w:rPr>
                <w:rFonts w:ascii="Arial" w:hAnsi="Arial"/>
                <w:bCs/>
                <w:sz w:val="24"/>
                <w:szCs w:val="24"/>
                <w:lang w:val="en-GB"/>
              </w:rPr>
              <w:t xml:space="preserve">Date: [    </w:t>
            </w:r>
            <w:r w:rsidR="00393DE3">
              <w:rPr>
                <w:rFonts w:ascii="Arial" w:hAnsi="Arial"/>
                <w:bCs/>
                <w:sz w:val="24"/>
                <w:szCs w:val="24"/>
              </w:rPr>
              <w:t>26</w:t>
            </w:r>
            <w:r w:rsidRPr="004D22E1">
              <w:rPr>
                <w:rFonts w:ascii="Arial" w:hAnsi="Arial"/>
                <w:bCs/>
                <w:sz w:val="24"/>
                <w:szCs w:val="24"/>
                <w:lang w:val="en-GB"/>
              </w:rPr>
              <w:t xml:space="preserve">–   </w:t>
            </w:r>
            <w:r w:rsidR="006B7AFA">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705"/>
        <w:gridCol w:w="848"/>
        <w:gridCol w:w="851"/>
        <w:gridCol w:w="402"/>
        <w:gridCol w:w="376"/>
        <w:gridCol w:w="298"/>
        <w:gridCol w:w="685"/>
        <w:gridCol w:w="646"/>
        <w:gridCol w:w="556"/>
        <w:gridCol w:w="570"/>
        <w:gridCol w:w="621"/>
        <w:gridCol w:w="441"/>
        <w:gridCol w:w="390"/>
        <w:gridCol w:w="452"/>
        <w:gridCol w:w="475"/>
        <w:gridCol w:w="494"/>
        <w:gridCol w:w="390"/>
        <w:gridCol w:w="578"/>
        <w:gridCol w:w="640"/>
        <w:gridCol w:w="534"/>
        <w:gridCol w:w="511"/>
        <w:gridCol w:w="452"/>
        <w:gridCol w:w="525"/>
        <w:gridCol w:w="637"/>
      </w:tblGrid>
      <w:tr w:rsidR="00DE11BF" w:rsidRPr="00233B59" w:rsidTr="00F64F37">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9"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9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93DE3">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3"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6"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9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93DE3" w:rsidRPr="00233B59" w:rsidTr="00393DE3">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30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4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0"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393DE3" w:rsidRPr="00233B59" w:rsidTr="00393DE3">
        <w:trPr>
          <w:trHeight w:val="1479"/>
        </w:trPr>
        <w:tc>
          <w:tcPr>
            <w:tcW w:w="133" w:type="pct"/>
            <w:shd w:val="clear" w:color="auto" w:fill="auto"/>
          </w:tcPr>
          <w:p w:rsidR="00393DE3" w:rsidRPr="00D14D22" w:rsidRDefault="00393DE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auto"/>
          </w:tcPr>
          <w:p w:rsidR="00393DE3" w:rsidRPr="00C6441A" w:rsidRDefault="00393DE3" w:rsidP="00073752"/>
        </w:tc>
        <w:tc>
          <w:tcPr>
            <w:tcW w:w="302" w:type="pct"/>
            <w:shd w:val="clear" w:color="auto" w:fill="auto"/>
            <w:vAlign w:val="center"/>
          </w:tcPr>
          <w:p w:rsidR="00393DE3" w:rsidRPr="00262296" w:rsidRDefault="00393DE3" w:rsidP="00933201">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15-B00-129</w:t>
            </w:r>
          </w:p>
        </w:tc>
        <w:tc>
          <w:tcPr>
            <w:tcW w:w="303" w:type="pct"/>
            <w:shd w:val="clear" w:color="auto" w:fill="auto"/>
            <w:vAlign w:val="center"/>
          </w:tcPr>
          <w:p w:rsidR="00393DE3" w:rsidRPr="00262296" w:rsidRDefault="00393DE3" w:rsidP="00933201">
            <w:pPr>
              <w:spacing w:after="0" w:line="240" w:lineRule="auto"/>
              <w:jc w:val="center"/>
              <w:rPr>
                <w:rFonts w:ascii="Arial" w:eastAsia="Times New Roman" w:hAnsi="Arial" w:cs="Arial"/>
                <w:b/>
                <w:bCs/>
                <w:color w:val="000000"/>
                <w:sz w:val="20"/>
                <w:szCs w:val="20"/>
              </w:rPr>
            </w:pPr>
            <w:proofErr w:type="spellStart"/>
            <w:r w:rsidRPr="00262296">
              <w:rPr>
                <w:rFonts w:ascii="Arial" w:eastAsia="Times New Roman" w:hAnsi="Arial" w:cs="Arial"/>
                <w:b/>
                <w:bCs/>
                <w:color w:val="000000"/>
                <w:sz w:val="20"/>
                <w:szCs w:val="20"/>
              </w:rPr>
              <w:t>Nintedanib</w:t>
            </w:r>
            <w:proofErr w:type="spellEnd"/>
            <w:r w:rsidRPr="00262296">
              <w:rPr>
                <w:rFonts w:ascii="Arial" w:eastAsia="Times New Roman" w:hAnsi="Arial" w:cs="Arial"/>
                <w:b/>
                <w:bCs/>
                <w:color w:val="000000"/>
                <w:sz w:val="20"/>
                <w:szCs w:val="20"/>
              </w:rPr>
              <w:t xml:space="preserve"> 100mg as </w:t>
            </w:r>
            <w:proofErr w:type="spellStart"/>
            <w:r w:rsidRPr="00262296">
              <w:rPr>
                <w:rFonts w:ascii="Arial" w:eastAsia="Times New Roman" w:hAnsi="Arial" w:cs="Arial"/>
                <w:b/>
                <w:bCs/>
                <w:color w:val="000000"/>
                <w:sz w:val="20"/>
                <w:szCs w:val="20"/>
              </w:rPr>
              <w:t>esilate</w:t>
            </w:r>
            <w:proofErr w:type="spellEnd"/>
            <w:r w:rsidRPr="00262296">
              <w:rPr>
                <w:rFonts w:ascii="Arial" w:eastAsia="Times New Roman" w:hAnsi="Arial" w:cs="Arial"/>
                <w:b/>
                <w:bCs/>
                <w:color w:val="000000"/>
                <w:sz w:val="20"/>
                <w:szCs w:val="20"/>
              </w:rPr>
              <w:t xml:space="preserve"> soft capsule</w:t>
            </w:r>
          </w:p>
        </w:tc>
        <w:tc>
          <w:tcPr>
            <w:tcW w:w="143" w:type="pct"/>
            <w:shd w:val="clear" w:color="auto" w:fill="auto"/>
            <w:vAlign w:val="center"/>
          </w:tcPr>
          <w:p w:rsidR="00393DE3" w:rsidRPr="00F04CA9" w:rsidRDefault="00393DE3" w:rsidP="00073752">
            <w:pPr>
              <w:spacing w:after="0" w:line="240" w:lineRule="auto"/>
              <w:rPr>
                <w:rFonts w:eastAsia="Times New Roman" w:cs="Calibri"/>
                <w:color w:val="000000"/>
              </w:rPr>
            </w:pPr>
          </w:p>
        </w:tc>
        <w:tc>
          <w:tcPr>
            <w:tcW w:w="134" w:type="pct"/>
            <w:shd w:val="clear" w:color="auto" w:fill="auto"/>
            <w:vAlign w:val="center"/>
          </w:tcPr>
          <w:p w:rsidR="00393DE3" w:rsidRDefault="00393DE3" w:rsidP="00073752">
            <w:pPr>
              <w:rPr>
                <w:rFonts w:cs="Calibri"/>
                <w:color w:val="000000"/>
              </w:rPr>
            </w:pPr>
          </w:p>
        </w:tc>
        <w:tc>
          <w:tcPr>
            <w:tcW w:w="106" w:type="pct"/>
            <w:shd w:val="clear" w:color="auto" w:fill="auto"/>
            <w:vAlign w:val="bottom"/>
          </w:tcPr>
          <w:p w:rsidR="00393DE3" w:rsidRDefault="00393DE3" w:rsidP="00073752">
            <w:pPr>
              <w:rPr>
                <w:rFonts w:cs="Calibri"/>
                <w:color w:val="000000"/>
                <w:sz w:val="16"/>
                <w:szCs w:val="16"/>
              </w:rPr>
            </w:pPr>
          </w:p>
        </w:tc>
        <w:tc>
          <w:tcPr>
            <w:tcW w:w="244" w:type="pct"/>
            <w:shd w:val="clear" w:color="auto" w:fill="auto"/>
            <w:vAlign w:val="bottom"/>
          </w:tcPr>
          <w:p w:rsidR="00393DE3" w:rsidRDefault="00393DE3" w:rsidP="00073752">
            <w:pPr>
              <w:rPr>
                <w:rFonts w:cs="Calibri"/>
                <w:color w:val="000000"/>
                <w:sz w:val="16"/>
                <w:szCs w:val="16"/>
              </w:rPr>
            </w:pPr>
          </w:p>
        </w:tc>
        <w:tc>
          <w:tcPr>
            <w:tcW w:w="230" w:type="pct"/>
            <w:shd w:val="clear" w:color="auto" w:fill="auto"/>
            <w:vAlign w:val="bottom"/>
          </w:tcPr>
          <w:p w:rsidR="00393DE3" w:rsidRDefault="00393DE3" w:rsidP="00073752">
            <w:pPr>
              <w:rPr>
                <w:rFonts w:cs="Calibri"/>
                <w:color w:val="000000"/>
                <w:sz w:val="16"/>
                <w:szCs w:val="16"/>
              </w:rPr>
            </w:pPr>
          </w:p>
        </w:tc>
        <w:tc>
          <w:tcPr>
            <w:tcW w:w="198" w:type="pct"/>
            <w:shd w:val="clear" w:color="auto" w:fill="auto"/>
            <w:vAlign w:val="bottom"/>
          </w:tcPr>
          <w:p w:rsidR="00393DE3" w:rsidRDefault="00393DE3" w:rsidP="00073752">
            <w:pPr>
              <w:rPr>
                <w:rFonts w:cs="Calibri"/>
                <w:color w:val="000000"/>
                <w:sz w:val="16"/>
                <w:szCs w:val="16"/>
              </w:rPr>
            </w:pPr>
          </w:p>
        </w:tc>
        <w:tc>
          <w:tcPr>
            <w:tcW w:w="203"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393DE3"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393DE3" w:rsidRPr="00233B59" w:rsidRDefault="00393DE3"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rsidR="00393DE3" w:rsidRPr="005F17BD" w:rsidRDefault="00393DE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393DE3"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393DE3" w:rsidRDefault="00393DE3"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rsidR="00393DE3" w:rsidRPr="005F17BD" w:rsidRDefault="00393DE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393DE3"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93DE3" w:rsidRPr="00233B59" w:rsidTr="00393DE3">
        <w:trPr>
          <w:trHeight w:val="1479"/>
        </w:trPr>
        <w:tc>
          <w:tcPr>
            <w:tcW w:w="133" w:type="pct"/>
            <w:shd w:val="clear" w:color="auto" w:fill="auto"/>
          </w:tcPr>
          <w:p w:rsidR="00393DE3" w:rsidRPr="004E2474" w:rsidRDefault="008338BC" w:rsidP="00073752">
            <w:pPr>
              <w:spacing w:after="0" w:line="180" w:lineRule="exact"/>
              <w:jc w:val="center"/>
            </w:pPr>
            <w:r>
              <w:t>2</w:t>
            </w:r>
            <w:bookmarkStart w:id="55" w:name="_GoBack"/>
            <w:bookmarkEnd w:id="55"/>
          </w:p>
        </w:tc>
        <w:tc>
          <w:tcPr>
            <w:tcW w:w="210"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auto"/>
          </w:tcPr>
          <w:p w:rsidR="00393DE3" w:rsidRPr="00C6441A" w:rsidRDefault="00393DE3" w:rsidP="00073752"/>
        </w:tc>
        <w:tc>
          <w:tcPr>
            <w:tcW w:w="302" w:type="pct"/>
            <w:shd w:val="clear" w:color="auto" w:fill="auto"/>
            <w:vAlign w:val="center"/>
          </w:tcPr>
          <w:p w:rsidR="00393DE3" w:rsidRPr="00262296" w:rsidRDefault="00393DE3" w:rsidP="00933201">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15-B00-130</w:t>
            </w:r>
          </w:p>
        </w:tc>
        <w:tc>
          <w:tcPr>
            <w:tcW w:w="303" w:type="pct"/>
            <w:shd w:val="clear" w:color="auto" w:fill="auto"/>
            <w:vAlign w:val="center"/>
          </w:tcPr>
          <w:p w:rsidR="00393DE3" w:rsidRPr="00262296" w:rsidRDefault="00393DE3" w:rsidP="00933201">
            <w:pPr>
              <w:spacing w:after="0" w:line="240" w:lineRule="auto"/>
              <w:jc w:val="center"/>
              <w:rPr>
                <w:rFonts w:ascii="Arial" w:eastAsia="Times New Roman" w:hAnsi="Arial" w:cs="Arial"/>
                <w:b/>
                <w:bCs/>
                <w:color w:val="000000"/>
                <w:sz w:val="20"/>
                <w:szCs w:val="20"/>
              </w:rPr>
            </w:pPr>
            <w:proofErr w:type="spellStart"/>
            <w:r w:rsidRPr="00262296">
              <w:rPr>
                <w:rFonts w:ascii="Arial" w:eastAsia="Times New Roman" w:hAnsi="Arial" w:cs="Arial"/>
                <w:b/>
                <w:bCs/>
                <w:color w:val="000000"/>
                <w:sz w:val="20"/>
                <w:szCs w:val="20"/>
              </w:rPr>
              <w:t>Nintedanib</w:t>
            </w:r>
            <w:proofErr w:type="spellEnd"/>
            <w:r w:rsidRPr="00262296">
              <w:rPr>
                <w:rFonts w:ascii="Arial" w:eastAsia="Times New Roman" w:hAnsi="Arial" w:cs="Arial"/>
                <w:b/>
                <w:bCs/>
                <w:color w:val="000000"/>
                <w:sz w:val="20"/>
                <w:szCs w:val="20"/>
              </w:rPr>
              <w:t xml:space="preserve"> 150mg (as </w:t>
            </w:r>
            <w:proofErr w:type="spellStart"/>
            <w:r w:rsidRPr="00262296">
              <w:rPr>
                <w:rFonts w:ascii="Arial" w:eastAsia="Times New Roman" w:hAnsi="Arial" w:cs="Arial"/>
                <w:b/>
                <w:bCs/>
                <w:color w:val="000000"/>
                <w:sz w:val="20"/>
                <w:szCs w:val="20"/>
              </w:rPr>
              <w:t>esilate</w:t>
            </w:r>
            <w:proofErr w:type="spellEnd"/>
            <w:r w:rsidRPr="00262296">
              <w:rPr>
                <w:rFonts w:ascii="Arial" w:eastAsia="Times New Roman" w:hAnsi="Arial" w:cs="Arial"/>
                <w:b/>
                <w:bCs/>
                <w:color w:val="000000"/>
                <w:sz w:val="20"/>
                <w:szCs w:val="20"/>
              </w:rPr>
              <w:t>) soft capsule</w:t>
            </w:r>
          </w:p>
          <w:p w:rsidR="00393DE3" w:rsidRPr="00262296" w:rsidRDefault="00393DE3" w:rsidP="00933201">
            <w:pPr>
              <w:spacing w:after="0" w:line="240" w:lineRule="auto"/>
              <w:jc w:val="center"/>
              <w:rPr>
                <w:rFonts w:ascii="Arial" w:eastAsia="Times New Roman" w:hAnsi="Arial" w:cs="Arial"/>
                <w:b/>
                <w:bCs/>
                <w:color w:val="000000"/>
                <w:sz w:val="20"/>
                <w:szCs w:val="20"/>
              </w:rPr>
            </w:pPr>
          </w:p>
          <w:p w:rsidR="00393DE3" w:rsidRPr="00262296" w:rsidRDefault="00393DE3" w:rsidP="00933201">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tl/>
              </w:rPr>
              <w:t xml:space="preserve">تلتزم الشركة المجهزة بعلاج 20 مريض </w:t>
            </w:r>
            <w:r w:rsidRPr="00262296">
              <w:rPr>
                <w:rFonts w:ascii="Arial" w:eastAsia="Times New Roman" w:hAnsi="Arial" w:cs="Arial"/>
                <w:b/>
                <w:bCs/>
                <w:color w:val="000000"/>
                <w:sz w:val="20"/>
                <w:szCs w:val="20"/>
                <w:rtl/>
              </w:rPr>
              <w:lastRenderedPageBreak/>
              <w:t>مجانا ولمدة عام ولعقد واحد فقط</w:t>
            </w:r>
          </w:p>
          <w:p w:rsidR="00393DE3" w:rsidRPr="00262296" w:rsidRDefault="00393DE3" w:rsidP="00933201">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tl/>
              </w:rPr>
              <w:t>ويحصر استخدامها لعلاج حالات</w:t>
            </w:r>
            <w:r w:rsidRPr="00262296">
              <w:rPr>
                <w:rFonts w:ascii="Arial" w:eastAsia="Times New Roman" w:hAnsi="Arial" w:cs="Arial"/>
                <w:b/>
                <w:bCs/>
                <w:color w:val="000000"/>
                <w:sz w:val="20"/>
                <w:szCs w:val="20"/>
              </w:rPr>
              <w:t xml:space="preserve"> (Idiopathic Pulmonary Fibrosis) </w:t>
            </w:r>
            <w:r w:rsidRPr="00262296">
              <w:rPr>
                <w:rFonts w:ascii="Arial" w:eastAsia="Times New Roman" w:hAnsi="Arial" w:cs="Arial"/>
                <w:b/>
                <w:bCs/>
                <w:color w:val="000000"/>
                <w:sz w:val="20"/>
                <w:szCs w:val="2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p w:rsidR="00393DE3" w:rsidRPr="00262296" w:rsidRDefault="00393DE3" w:rsidP="00933201">
            <w:pPr>
              <w:spacing w:after="0" w:line="240" w:lineRule="auto"/>
              <w:jc w:val="center"/>
              <w:rPr>
                <w:rFonts w:ascii="Arial" w:eastAsia="Times New Roman" w:hAnsi="Arial" w:cs="Arial"/>
                <w:b/>
                <w:bCs/>
                <w:color w:val="000000"/>
                <w:sz w:val="20"/>
                <w:szCs w:val="20"/>
              </w:rPr>
            </w:pPr>
          </w:p>
        </w:tc>
        <w:tc>
          <w:tcPr>
            <w:tcW w:w="143" w:type="pct"/>
            <w:shd w:val="clear" w:color="auto" w:fill="auto"/>
            <w:vAlign w:val="center"/>
          </w:tcPr>
          <w:p w:rsidR="00393DE3" w:rsidRPr="00F04CA9" w:rsidRDefault="00393DE3" w:rsidP="00073752">
            <w:pPr>
              <w:spacing w:after="0" w:line="240" w:lineRule="auto"/>
              <w:rPr>
                <w:rFonts w:eastAsia="Times New Roman" w:cs="Calibri"/>
                <w:color w:val="000000"/>
              </w:rPr>
            </w:pPr>
          </w:p>
        </w:tc>
        <w:tc>
          <w:tcPr>
            <w:tcW w:w="134" w:type="pct"/>
            <w:shd w:val="clear" w:color="auto" w:fill="auto"/>
            <w:vAlign w:val="center"/>
          </w:tcPr>
          <w:p w:rsidR="00393DE3" w:rsidRDefault="00393DE3" w:rsidP="00073752">
            <w:pPr>
              <w:rPr>
                <w:rFonts w:cs="Calibri"/>
                <w:color w:val="000000"/>
              </w:rPr>
            </w:pPr>
          </w:p>
        </w:tc>
        <w:tc>
          <w:tcPr>
            <w:tcW w:w="106" w:type="pct"/>
            <w:shd w:val="clear" w:color="auto" w:fill="auto"/>
            <w:vAlign w:val="bottom"/>
          </w:tcPr>
          <w:p w:rsidR="00393DE3" w:rsidRDefault="00393DE3" w:rsidP="00073752">
            <w:pPr>
              <w:rPr>
                <w:rFonts w:cs="Calibri"/>
                <w:color w:val="000000"/>
                <w:sz w:val="16"/>
                <w:szCs w:val="16"/>
              </w:rPr>
            </w:pPr>
          </w:p>
        </w:tc>
        <w:tc>
          <w:tcPr>
            <w:tcW w:w="244" w:type="pct"/>
            <w:shd w:val="clear" w:color="auto" w:fill="auto"/>
            <w:vAlign w:val="bottom"/>
          </w:tcPr>
          <w:p w:rsidR="00393DE3" w:rsidRDefault="00393DE3" w:rsidP="00073752">
            <w:pPr>
              <w:rPr>
                <w:rFonts w:cs="Calibri"/>
                <w:color w:val="000000"/>
                <w:sz w:val="16"/>
                <w:szCs w:val="16"/>
              </w:rPr>
            </w:pPr>
          </w:p>
        </w:tc>
        <w:tc>
          <w:tcPr>
            <w:tcW w:w="230" w:type="pct"/>
            <w:shd w:val="clear" w:color="auto" w:fill="auto"/>
            <w:vAlign w:val="bottom"/>
          </w:tcPr>
          <w:p w:rsidR="00393DE3" w:rsidRDefault="00393DE3" w:rsidP="00073752">
            <w:pPr>
              <w:rPr>
                <w:rFonts w:cs="Calibri"/>
                <w:color w:val="000000"/>
                <w:sz w:val="16"/>
                <w:szCs w:val="16"/>
              </w:rPr>
            </w:pPr>
          </w:p>
        </w:tc>
        <w:tc>
          <w:tcPr>
            <w:tcW w:w="198" w:type="pct"/>
            <w:shd w:val="clear" w:color="auto" w:fill="auto"/>
            <w:vAlign w:val="bottom"/>
          </w:tcPr>
          <w:p w:rsidR="00393DE3" w:rsidRDefault="00393DE3" w:rsidP="00073752">
            <w:pPr>
              <w:rPr>
                <w:rFonts w:cs="Calibri"/>
                <w:color w:val="000000"/>
                <w:sz w:val="16"/>
                <w:szCs w:val="16"/>
              </w:rPr>
            </w:pPr>
          </w:p>
        </w:tc>
        <w:tc>
          <w:tcPr>
            <w:tcW w:w="203"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393DE3"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393DE3" w:rsidRPr="00233B59" w:rsidRDefault="00393DE3"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rsidR="00393DE3" w:rsidRPr="005F17BD" w:rsidRDefault="00393DE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393DE3"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393DE3" w:rsidRDefault="00393DE3"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rsidR="00393DE3" w:rsidRPr="005F17BD" w:rsidRDefault="00393DE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393DE3" w:rsidRPr="00233B59"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393DE3" w:rsidRDefault="00393DE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4D4" w:rsidRDefault="00FC24D4" w:rsidP="00400881">
      <w:pPr>
        <w:spacing w:after="0" w:line="240" w:lineRule="auto"/>
      </w:pPr>
      <w:r>
        <w:separator/>
      </w:r>
    </w:p>
  </w:endnote>
  <w:endnote w:type="continuationSeparator" w:id="0">
    <w:p w:rsidR="00FC24D4" w:rsidRDefault="00FC24D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38BC">
          <w:rPr>
            <w:noProof/>
            <w:sz w:val="24"/>
            <w:szCs w:val="24"/>
          </w:rPr>
          <w:t>67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4D4" w:rsidRDefault="00FC24D4" w:rsidP="00400881">
      <w:pPr>
        <w:spacing w:after="0" w:line="240" w:lineRule="auto"/>
      </w:pPr>
      <w:r>
        <w:separator/>
      </w:r>
    </w:p>
  </w:footnote>
  <w:footnote w:type="continuationSeparator" w:id="0">
    <w:p w:rsidR="00FC24D4" w:rsidRDefault="00FC24D4"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3DE3"/>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B7AFA"/>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38BC"/>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61C1"/>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5C61"/>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1221"/>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64F37"/>
    <w:rsid w:val="00F754B1"/>
    <w:rsid w:val="00F825DB"/>
    <w:rsid w:val="00F836D8"/>
    <w:rsid w:val="00F879C1"/>
    <w:rsid w:val="00F950CA"/>
    <w:rsid w:val="00F9582B"/>
    <w:rsid w:val="00F95B66"/>
    <w:rsid w:val="00F976A3"/>
    <w:rsid w:val="00FA449B"/>
    <w:rsid w:val="00FA55AF"/>
    <w:rsid w:val="00FB4C0E"/>
    <w:rsid w:val="00FB5348"/>
    <w:rsid w:val="00FB5C8C"/>
    <w:rsid w:val="00FC0223"/>
    <w:rsid w:val="00FC0D5A"/>
    <w:rsid w:val="00FC24D4"/>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BB7D7-5398-45D5-95C7-9199DEB5E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131</Pages>
  <Words>35469</Words>
  <Characters>202178</Characters>
  <Application>Microsoft Office Word</Application>
  <DocSecurity>0</DocSecurity>
  <Lines>1684</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108</cp:revision>
  <cp:lastPrinted>2023-06-08T09:23:00Z</cp:lastPrinted>
  <dcterms:created xsi:type="dcterms:W3CDTF">2022-01-13T10:10:00Z</dcterms:created>
  <dcterms:modified xsi:type="dcterms:W3CDTF">2023-06-08T09:24:00Z</dcterms:modified>
</cp:coreProperties>
</file>