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63ABA">
        <w:tc>
          <w:tcPr>
            <w:tcW w:w="1215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Default="00B367A8" w:rsidP="00E57A2B">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1204A9">
              <w:rPr>
                <w:rFonts w:hint="cs"/>
                <w:sz w:val="32"/>
                <w:szCs w:val="32"/>
                <w:rtl/>
                <w:lang w:bidi="ar-IQ"/>
              </w:rPr>
              <w:t xml:space="preserve">مناقصة مصانع وطنية </w:t>
            </w:r>
            <w:r w:rsidR="00E57A2B">
              <w:rPr>
                <w:sz w:val="32"/>
                <w:szCs w:val="32"/>
                <w:lang w:bidi="ar-IQ"/>
              </w:rPr>
              <w:t>12</w:t>
            </w:r>
            <w:r w:rsidR="00285C21">
              <w:rPr>
                <w:sz w:val="32"/>
                <w:szCs w:val="32"/>
                <w:lang w:bidi="ar-IQ"/>
              </w:rPr>
              <w:t>\2023</w:t>
            </w: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E57A2B">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E57A2B">
              <w:rPr>
                <w:rFonts w:asciiTheme="minorBidi" w:hAnsiTheme="minorBidi" w:hint="cs"/>
                <w:color w:val="000000"/>
                <w:sz w:val="32"/>
                <w:szCs w:val="32"/>
                <w:highlight w:val="cyan"/>
                <w:rtl/>
                <w:lang w:bidi="ar-IQ"/>
              </w:rPr>
              <w:t>16</w:t>
            </w:r>
            <w:r w:rsidR="00C42FB5">
              <w:rPr>
                <w:rFonts w:asciiTheme="minorBidi" w:hAnsiTheme="minorBidi"/>
                <w:color w:val="000000"/>
                <w:sz w:val="32"/>
                <w:szCs w:val="32"/>
                <w:highlight w:val="cyan"/>
                <w:lang w:bidi="ar-LB"/>
              </w:rPr>
              <w:t>/</w:t>
            </w:r>
            <w:r w:rsidR="00E57A2B">
              <w:rPr>
                <w:rFonts w:asciiTheme="minorBidi" w:hAnsiTheme="minorBidi" w:hint="cs"/>
                <w:color w:val="000000"/>
                <w:sz w:val="32"/>
                <w:szCs w:val="32"/>
                <w:highlight w:val="cyan"/>
                <w:rtl/>
                <w:lang w:bidi="ar-LB"/>
              </w:rPr>
              <w:t>7</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45066C">
              <w:rPr>
                <w:rFonts w:asciiTheme="minorBidi" w:hAnsiTheme="minorBidi" w:hint="cs"/>
                <w:color w:val="000000"/>
                <w:sz w:val="32"/>
                <w:szCs w:val="32"/>
                <w:rtl/>
                <w:lang w:bidi="ar-IQ"/>
              </w:rPr>
              <w:t>3</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A63ABA">
        <w:tc>
          <w:tcPr>
            <w:tcW w:w="12558" w:type="dxa"/>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212FFB" w:rsidRDefault="00B367A8" w:rsidP="00E57A2B">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285C21">
              <w:rPr>
                <w:rFonts w:ascii="Calibri" w:hAnsi="Calibri" w:cs="Arial"/>
                <w:bCs/>
                <w:sz w:val="24"/>
                <w:szCs w:val="24"/>
                <w:lang w:bidi="ar-IQ"/>
              </w:rPr>
              <w:t xml:space="preserve"> </w:t>
            </w:r>
            <w:r w:rsidR="00E57A2B">
              <w:rPr>
                <w:sz w:val="32"/>
                <w:szCs w:val="32"/>
                <w:lang w:bidi="ar-IQ"/>
              </w:rPr>
              <w:t>12</w:t>
            </w:r>
            <w:r w:rsidR="00285C21">
              <w:rPr>
                <w:sz w:val="32"/>
                <w:szCs w:val="32"/>
                <w:lang w:bidi="ar-IQ"/>
              </w:rPr>
              <w:t>\2023</w:t>
            </w:r>
            <w:r w:rsidR="00285C21" w:rsidRPr="00212FFB">
              <w:rPr>
                <w:rFonts w:hint="cs"/>
                <w:b/>
                <w:bCs/>
                <w:color w:val="000000"/>
                <w:spacing w:val="-2"/>
                <w:sz w:val="24"/>
                <w:szCs w:val="24"/>
                <w:rtl/>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B367A8" w:rsidRPr="00212FFB" w:rsidRDefault="00B367A8" w:rsidP="00E57A2B">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E57A2B">
              <w:rPr>
                <w:rFonts w:hint="cs"/>
                <w:sz w:val="24"/>
                <w:szCs w:val="24"/>
                <w:highlight w:val="cyan"/>
                <w:rtl/>
              </w:rPr>
              <w:t>16</w:t>
            </w:r>
            <w:r w:rsidRPr="00212FFB">
              <w:rPr>
                <w:rFonts w:hint="cs"/>
                <w:sz w:val="24"/>
                <w:szCs w:val="24"/>
                <w:highlight w:val="cyan"/>
                <w:rtl/>
              </w:rPr>
              <w:t xml:space="preserve">/ </w:t>
            </w:r>
            <w:r w:rsidR="00E57A2B">
              <w:rPr>
                <w:rFonts w:hint="cs"/>
                <w:sz w:val="24"/>
                <w:szCs w:val="24"/>
                <w:highlight w:val="cyan"/>
                <w:rtl/>
              </w:rPr>
              <w:t>7</w:t>
            </w:r>
            <w:r w:rsidRPr="00212FFB">
              <w:rPr>
                <w:rFonts w:hint="cs"/>
                <w:sz w:val="24"/>
                <w:szCs w:val="24"/>
                <w:highlight w:val="cyan"/>
                <w:rtl/>
              </w:rPr>
              <w:t xml:space="preserve"> /</w:t>
            </w:r>
            <w:r w:rsidRPr="009A54BD">
              <w:rPr>
                <w:rFonts w:hint="cs"/>
                <w:sz w:val="24"/>
                <w:szCs w:val="24"/>
                <w:highlight w:val="cyan"/>
                <w:rtl/>
              </w:rPr>
              <w:t>202</w:t>
            </w:r>
            <w:r w:rsidR="0045066C">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212FFB">
              <w:rPr>
                <w:rFonts w:hint="cs"/>
                <w:sz w:val="24"/>
                <w:szCs w:val="24"/>
                <w:highlight w:val="cyan"/>
                <w:rtl/>
                <w:lang w:bidi="ar-DZ"/>
              </w:rPr>
              <w:t>/   /202</w:t>
            </w:r>
            <w:r w:rsidR="0045066C">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E57A2B">
              <w:rPr>
                <w:rFonts w:hint="cs"/>
                <w:color w:val="000000"/>
                <w:spacing w:val="-2"/>
                <w:sz w:val="24"/>
                <w:szCs w:val="24"/>
                <w:highlight w:val="cyan"/>
                <w:rtl/>
              </w:rPr>
              <w:t>30</w:t>
            </w:r>
            <w:r w:rsidRPr="00212FFB">
              <w:rPr>
                <w:rFonts w:hint="cs"/>
                <w:color w:val="000000"/>
                <w:spacing w:val="-2"/>
                <w:sz w:val="24"/>
                <w:szCs w:val="24"/>
                <w:highlight w:val="cyan"/>
                <w:rtl/>
              </w:rPr>
              <w:t>/</w:t>
            </w:r>
            <w:r w:rsidR="00E57A2B">
              <w:rPr>
                <w:rFonts w:hint="cs"/>
                <w:color w:val="000000"/>
                <w:spacing w:val="-2"/>
                <w:sz w:val="24"/>
                <w:szCs w:val="24"/>
                <w:highlight w:val="cyan"/>
                <w:rtl/>
              </w:rPr>
              <w:t>7</w:t>
            </w:r>
            <w:r w:rsidRPr="00212FFB">
              <w:rPr>
                <w:rFonts w:hint="cs"/>
                <w:color w:val="000000"/>
                <w:spacing w:val="-2"/>
                <w:sz w:val="24"/>
                <w:szCs w:val="24"/>
                <w:highlight w:val="cyan"/>
                <w:rtl/>
              </w:rPr>
              <w:t>/</w:t>
            </w:r>
            <w:r w:rsidR="00594D13" w:rsidRPr="00212FFB">
              <w:rPr>
                <w:rFonts w:hint="cs"/>
                <w:color w:val="000000"/>
                <w:spacing w:val="-2"/>
                <w:sz w:val="24"/>
                <w:szCs w:val="24"/>
                <w:highlight w:val="cyan"/>
                <w:rtl/>
              </w:rPr>
              <w:t xml:space="preserve">  202</w:t>
            </w:r>
            <w:r w:rsidR="0045066C">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lastRenderedPageBreak/>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lastRenderedPageBreak/>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lang w:bidi="ar-IQ"/>
        </w:rPr>
      </w:pPr>
    </w:p>
    <w:p w:rsidR="00746BA1" w:rsidRDefault="00746BA1" w:rsidP="00EA4F08">
      <w:pPr>
        <w:tabs>
          <w:tab w:val="left" w:pos="1470"/>
        </w:tabs>
        <w:rPr>
          <w:lang w:bidi="ar-IQ"/>
        </w:rPr>
      </w:pPr>
    </w:p>
    <w:p w:rsidR="00746BA1" w:rsidRDefault="00746BA1" w:rsidP="00EA4F08">
      <w:pPr>
        <w:tabs>
          <w:tab w:val="left" w:pos="1470"/>
        </w:tabs>
        <w:rPr>
          <w:lang w:bidi="ar-IQ"/>
        </w:rPr>
      </w:pPr>
    </w:p>
    <w:p w:rsidR="00746BA1" w:rsidRDefault="00746BA1" w:rsidP="00EA4F08">
      <w:pPr>
        <w:tabs>
          <w:tab w:val="left" w:pos="1470"/>
        </w:tabs>
        <w:rPr>
          <w:rtl/>
          <w:lang w:bidi="ar-IQ"/>
        </w:rPr>
      </w:pPr>
    </w:p>
    <w:p w:rsidR="00D706DD" w:rsidRDefault="00D706DD" w:rsidP="00EA4F08">
      <w:pPr>
        <w:tabs>
          <w:tab w:val="left" w:pos="1470"/>
        </w:tabs>
        <w:rPr>
          <w:rtl/>
          <w:lang w:bidi="ar-IQ"/>
        </w:rPr>
      </w:pPr>
    </w:p>
    <w:p w:rsidR="00212FFB" w:rsidRDefault="00212FFB">
      <w:pPr>
        <w:rPr>
          <w:rtl/>
        </w:rPr>
      </w:pPr>
    </w:p>
    <w:tbl>
      <w:tblPr>
        <w:tblW w:w="14216" w:type="dxa"/>
        <w:tblInd w:w="-899" w:type="dxa"/>
        <w:tblLook w:val="04A0" w:firstRow="1" w:lastRow="0" w:firstColumn="1" w:lastColumn="0" w:noHBand="0" w:noVBand="1"/>
      </w:tblPr>
      <w:tblGrid>
        <w:gridCol w:w="607"/>
        <w:gridCol w:w="2385"/>
        <w:gridCol w:w="4820"/>
        <w:gridCol w:w="1984"/>
        <w:gridCol w:w="1843"/>
        <w:gridCol w:w="2577"/>
      </w:tblGrid>
      <w:tr w:rsidR="00746BA1" w:rsidRPr="00746BA1" w:rsidTr="00746BA1">
        <w:trPr>
          <w:trHeight w:val="1020"/>
        </w:trPr>
        <w:tc>
          <w:tcPr>
            <w:tcW w:w="1421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746BA1" w:rsidRPr="00746BA1" w:rsidRDefault="00746BA1" w:rsidP="00E57A2B">
            <w:pPr>
              <w:bidi/>
              <w:spacing w:after="0" w:line="240" w:lineRule="auto"/>
              <w:jc w:val="center"/>
              <w:rPr>
                <w:rFonts w:ascii="Arial" w:eastAsia="Times New Roman" w:hAnsi="Arial" w:cs="Arial"/>
                <w:b/>
                <w:bCs/>
                <w:color w:val="000000"/>
                <w:sz w:val="36"/>
                <w:szCs w:val="36"/>
                <w:rtl/>
                <w:lang w:bidi="ar-IQ"/>
              </w:rPr>
            </w:pPr>
            <w:r w:rsidRPr="00746BA1">
              <w:rPr>
                <w:rFonts w:ascii="Arial" w:eastAsia="Times New Roman" w:hAnsi="Arial" w:cs="Arial"/>
                <w:b/>
                <w:bCs/>
                <w:color w:val="000000"/>
                <w:sz w:val="36"/>
                <w:szCs w:val="36"/>
                <w:rtl/>
              </w:rPr>
              <w:t xml:space="preserve">مناقصة ادوية مصانع وطنية   </w:t>
            </w:r>
            <w:r w:rsidR="00E57A2B">
              <w:rPr>
                <w:rFonts w:ascii="Arial" w:eastAsia="Times New Roman" w:hAnsi="Arial" w:cs="Arial" w:hint="cs"/>
                <w:b/>
                <w:bCs/>
                <w:color w:val="000000"/>
                <w:sz w:val="36"/>
                <w:szCs w:val="36"/>
                <w:rtl/>
              </w:rPr>
              <w:t>12</w:t>
            </w:r>
            <w:r w:rsidRPr="00746BA1">
              <w:rPr>
                <w:rFonts w:ascii="Arial" w:eastAsia="Times New Roman" w:hAnsi="Arial" w:cs="Arial"/>
                <w:b/>
                <w:bCs/>
                <w:color w:val="000000"/>
                <w:sz w:val="36"/>
                <w:szCs w:val="36"/>
                <w:rtl/>
              </w:rPr>
              <w:t>_2023</w:t>
            </w:r>
          </w:p>
        </w:tc>
      </w:tr>
      <w:tr w:rsidR="00746BA1" w:rsidRPr="00746BA1" w:rsidTr="00746BA1">
        <w:trPr>
          <w:trHeight w:val="1020"/>
        </w:trPr>
        <w:tc>
          <w:tcPr>
            <w:tcW w:w="607" w:type="dxa"/>
            <w:tcBorders>
              <w:top w:val="nil"/>
              <w:left w:val="single" w:sz="4" w:space="0" w:color="auto"/>
              <w:bottom w:val="single" w:sz="4" w:space="0" w:color="auto"/>
              <w:right w:val="single" w:sz="4" w:space="0" w:color="auto"/>
            </w:tcBorders>
            <w:shd w:val="clear" w:color="000000" w:fill="EEECE1"/>
            <w:noWrap/>
            <w:vAlign w:val="center"/>
            <w:hideMark/>
          </w:tcPr>
          <w:p w:rsidR="00746BA1" w:rsidRPr="00746BA1" w:rsidRDefault="00746BA1" w:rsidP="00746BA1">
            <w:pPr>
              <w:spacing w:after="0" w:line="240" w:lineRule="auto"/>
              <w:jc w:val="center"/>
              <w:rPr>
                <w:rFonts w:ascii="Arial" w:eastAsia="Times New Roman" w:hAnsi="Arial" w:cs="Arial"/>
                <w:b/>
                <w:bCs/>
                <w:color w:val="000000"/>
                <w:sz w:val="32"/>
                <w:szCs w:val="32"/>
              </w:rPr>
            </w:pPr>
            <w:r w:rsidRPr="00746BA1">
              <w:rPr>
                <w:rFonts w:ascii="Arial" w:eastAsia="Times New Roman" w:hAnsi="Arial" w:cs="Arial"/>
                <w:b/>
                <w:bCs/>
                <w:color w:val="000000"/>
                <w:sz w:val="32"/>
                <w:szCs w:val="32"/>
              </w:rPr>
              <w:t>no</w:t>
            </w:r>
          </w:p>
        </w:tc>
        <w:tc>
          <w:tcPr>
            <w:tcW w:w="2385" w:type="dxa"/>
            <w:tcBorders>
              <w:top w:val="nil"/>
              <w:left w:val="nil"/>
              <w:bottom w:val="single" w:sz="4" w:space="0" w:color="auto"/>
              <w:right w:val="single" w:sz="4" w:space="0" w:color="auto"/>
            </w:tcBorders>
            <w:shd w:val="clear" w:color="000000" w:fill="EEECE1"/>
            <w:noWrap/>
            <w:vAlign w:val="center"/>
            <w:hideMark/>
          </w:tcPr>
          <w:p w:rsidR="00746BA1" w:rsidRPr="00746BA1" w:rsidRDefault="00746BA1" w:rsidP="00746BA1">
            <w:pPr>
              <w:spacing w:after="0" w:line="240" w:lineRule="auto"/>
              <w:jc w:val="center"/>
              <w:rPr>
                <w:rFonts w:ascii="Calibri" w:eastAsia="Times New Roman" w:hAnsi="Calibri" w:cs="Calibri"/>
                <w:b/>
                <w:bCs/>
                <w:color w:val="000000"/>
                <w:sz w:val="32"/>
                <w:szCs w:val="32"/>
              </w:rPr>
            </w:pPr>
            <w:r w:rsidRPr="00746BA1">
              <w:rPr>
                <w:rFonts w:ascii="Calibri" w:eastAsia="Times New Roman" w:hAnsi="Calibri" w:cs="Calibri"/>
                <w:b/>
                <w:bCs/>
                <w:color w:val="000000"/>
                <w:sz w:val="32"/>
                <w:szCs w:val="32"/>
              </w:rPr>
              <w:t>national_c</w:t>
            </w:r>
          </w:p>
        </w:tc>
        <w:tc>
          <w:tcPr>
            <w:tcW w:w="4820" w:type="dxa"/>
            <w:tcBorders>
              <w:top w:val="nil"/>
              <w:left w:val="nil"/>
              <w:bottom w:val="single" w:sz="4" w:space="0" w:color="auto"/>
              <w:right w:val="single" w:sz="4" w:space="0" w:color="auto"/>
            </w:tcBorders>
            <w:shd w:val="clear" w:color="000000" w:fill="EEECE1"/>
            <w:noWrap/>
            <w:vAlign w:val="center"/>
            <w:hideMark/>
          </w:tcPr>
          <w:p w:rsidR="00746BA1" w:rsidRPr="00746BA1" w:rsidRDefault="00746BA1" w:rsidP="00746BA1">
            <w:pPr>
              <w:spacing w:after="0" w:line="240" w:lineRule="auto"/>
              <w:jc w:val="center"/>
              <w:rPr>
                <w:rFonts w:ascii="Calibri" w:eastAsia="Times New Roman" w:hAnsi="Calibri" w:cs="Calibri"/>
                <w:b/>
                <w:bCs/>
                <w:color w:val="000000"/>
                <w:sz w:val="32"/>
                <w:szCs w:val="32"/>
              </w:rPr>
            </w:pPr>
            <w:r w:rsidRPr="00746BA1">
              <w:rPr>
                <w:rFonts w:ascii="Calibri" w:eastAsia="Times New Roman" w:hAnsi="Calibri" w:cs="Calibri"/>
                <w:b/>
                <w:bCs/>
                <w:color w:val="000000"/>
                <w:sz w:val="32"/>
                <w:szCs w:val="32"/>
              </w:rPr>
              <w:t>item</w:t>
            </w:r>
          </w:p>
        </w:tc>
        <w:tc>
          <w:tcPr>
            <w:tcW w:w="1984" w:type="dxa"/>
            <w:tcBorders>
              <w:top w:val="nil"/>
              <w:left w:val="nil"/>
              <w:bottom w:val="single" w:sz="4" w:space="0" w:color="auto"/>
              <w:right w:val="single" w:sz="4" w:space="0" w:color="auto"/>
            </w:tcBorders>
            <w:shd w:val="clear" w:color="000000" w:fill="EEECE1"/>
            <w:noWrap/>
            <w:vAlign w:val="center"/>
            <w:hideMark/>
          </w:tcPr>
          <w:p w:rsidR="00746BA1" w:rsidRPr="00746BA1" w:rsidRDefault="00746BA1" w:rsidP="00746BA1">
            <w:pPr>
              <w:bidi/>
              <w:spacing w:after="0" w:line="240" w:lineRule="auto"/>
              <w:jc w:val="center"/>
              <w:rPr>
                <w:rFonts w:ascii="Calibri" w:eastAsia="Times New Roman" w:hAnsi="Calibri" w:cs="Calibri"/>
                <w:b/>
                <w:bCs/>
                <w:color w:val="000000"/>
                <w:sz w:val="32"/>
                <w:szCs w:val="32"/>
              </w:rPr>
            </w:pPr>
            <w:r w:rsidRPr="00746BA1">
              <w:rPr>
                <w:rFonts w:ascii="Calibri" w:eastAsia="Times New Roman" w:hAnsi="Calibri" w:cs="Times New Roman"/>
                <w:b/>
                <w:bCs/>
                <w:color w:val="000000"/>
                <w:sz w:val="32"/>
                <w:szCs w:val="32"/>
                <w:rtl/>
              </w:rPr>
              <w:t xml:space="preserve">احتياج </w:t>
            </w:r>
            <w:r w:rsidRPr="00746BA1">
              <w:rPr>
                <w:rFonts w:ascii="Calibri" w:eastAsia="Times New Roman" w:hAnsi="Calibri" w:cs="Calibri"/>
                <w:b/>
                <w:bCs/>
                <w:color w:val="000000"/>
                <w:sz w:val="32"/>
                <w:szCs w:val="32"/>
                <w:rtl/>
              </w:rPr>
              <w:t>2024</w:t>
            </w:r>
          </w:p>
        </w:tc>
        <w:tc>
          <w:tcPr>
            <w:tcW w:w="1843" w:type="dxa"/>
            <w:tcBorders>
              <w:top w:val="nil"/>
              <w:left w:val="nil"/>
              <w:bottom w:val="single" w:sz="4" w:space="0" w:color="auto"/>
              <w:right w:val="single" w:sz="4" w:space="0" w:color="auto"/>
            </w:tcBorders>
            <w:shd w:val="clear" w:color="000000" w:fill="EEECE1"/>
            <w:noWrap/>
            <w:vAlign w:val="center"/>
            <w:hideMark/>
          </w:tcPr>
          <w:p w:rsidR="00746BA1" w:rsidRPr="00746BA1" w:rsidRDefault="00746BA1" w:rsidP="00746BA1">
            <w:pPr>
              <w:spacing w:after="0" w:line="240" w:lineRule="auto"/>
              <w:jc w:val="center"/>
              <w:rPr>
                <w:rFonts w:ascii="Calibri" w:eastAsia="Times New Roman" w:hAnsi="Calibri" w:cs="Calibri"/>
                <w:b/>
                <w:bCs/>
                <w:color w:val="000000"/>
                <w:sz w:val="32"/>
                <w:szCs w:val="32"/>
              </w:rPr>
            </w:pPr>
            <w:r w:rsidRPr="00746BA1">
              <w:rPr>
                <w:rFonts w:ascii="Calibri" w:eastAsia="Times New Roman" w:hAnsi="Calibri" w:cs="Calibri"/>
                <w:b/>
                <w:bCs/>
                <w:color w:val="000000"/>
                <w:sz w:val="32"/>
                <w:szCs w:val="32"/>
              </w:rPr>
              <w:t>pack size</w:t>
            </w:r>
          </w:p>
        </w:tc>
        <w:tc>
          <w:tcPr>
            <w:tcW w:w="2577" w:type="dxa"/>
            <w:tcBorders>
              <w:top w:val="nil"/>
              <w:left w:val="nil"/>
              <w:bottom w:val="single" w:sz="4" w:space="0" w:color="auto"/>
              <w:right w:val="single" w:sz="4" w:space="0" w:color="auto"/>
            </w:tcBorders>
            <w:shd w:val="clear" w:color="000000" w:fill="EEECE1"/>
            <w:noWrap/>
            <w:vAlign w:val="center"/>
            <w:hideMark/>
          </w:tcPr>
          <w:p w:rsidR="00746BA1" w:rsidRPr="00746BA1" w:rsidRDefault="00746BA1" w:rsidP="00746BA1">
            <w:pPr>
              <w:bidi/>
              <w:spacing w:after="0" w:line="240" w:lineRule="auto"/>
              <w:jc w:val="center"/>
              <w:rPr>
                <w:rFonts w:ascii="Arial" w:eastAsia="Times New Roman" w:hAnsi="Arial" w:cs="Arial"/>
                <w:b/>
                <w:bCs/>
                <w:color w:val="000000"/>
                <w:sz w:val="32"/>
                <w:szCs w:val="32"/>
              </w:rPr>
            </w:pPr>
            <w:r w:rsidRPr="00746BA1">
              <w:rPr>
                <w:rFonts w:ascii="Arial" w:eastAsia="Times New Roman" w:hAnsi="Arial" w:cs="Arial"/>
                <w:b/>
                <w:bCs/>
                <w:color w:val="000000"/>
                <w:sz w:val="32"/>
                <w:szCs w:val="32"/>
                <w:rtl/>
              </w:rPr>
              <w:t xml:space="preserve">كلفة2024 </w:t>
            </w:r>
            <w:r w:rsidRPr="00746BA1">
              <w:rPr>
                <w:rFonts w:ascii="Arial" w:eastAsia="Times New Roman" w:hAnsi="Arial" w:cs="Arial"/>
                <w:b/>
                <w:bCs/>
                <w:color w:val="000000"/>
                <w:sz w:val="32"/>
                <w:szCs w:val="32"/>
              </w:rPr>
              <w:t>ID</w:t>
            </w:r>
          </w:p>
        </w:tc>
      </w:tr>
      <w:tr w:rsidR="00E57A2B" w:rsidRPr="00746BA1" w:rsidTr="00E148D2">
        <w:trPr>
          <w:trHeight w:val="2700"/>
        </w:trPr>
        <w:tc>
          <w:tcPr>
            <w:tcW w:w="607" w:type="dxa"/>
            <w:tcBorders>
              <w:top w:val="nil"/>
              <w:left w:val="single" w:sz="4" w:space="0" w:color="auto"/>
              <w:bottom w:val="single" w:sz="4" w:space="0" w:color="auto"/>
              <w:right w:val="single" w:sz="4" w:space="0" w:color="auto"/>
            </w:tcBorders>
            <w:shd w:val="clear" w:color="auto" w:fill="auto"/>
            <w:noWrap/>
            <w:vAlign w:val="center"/>
          </w:tcPr>
          <w:p w:rsidR="00E57A2B" w:rsidRDefault="00E57A2B">
            <w:pPr>
              <w:jc w:val="center"/>
              <w:rPr>
                <w:rFonts w:ascii="Arial" w:hAnsi="Arial" w:cs="Arial"/>
                <w:b/>
                <w:bCs/>
                <w:color w:val="000000"/>
                <w:sz w:val="24"/>
                <w:szCs w:val="24"/>
              </w:rPr>
            </w:pPr>
            <w:r>
              <w:rPr>
                <w:rFonts w:ascii="Arial" w:hAnsi="Arial" w:cs="Arial"/>
                <w:b/>
                <w:bCs/>
                <w:color w:val="000000"/>
              </w:rPr>
              <w:t>1</w:t>
            </w:r>
          </w:p>
        </w:tc>
        <w:tc>
          <w:tcPr>
            <w:tcW w:w="2385" w:type="dxa"/>
            <w:tcBorders>
              <w:top w:val="nil"/>
              <w:left w:val="nil"/>
              <w:bottom w:val="single" w:sz="4" w:space="0" w:color="auto"/>
              <w:right w:val="single" w:sz="4" w:space="0" w:color="auto"/>
            </w:tcBorders>
            <w:shd w:val="clear" w:color="auto" w:fill="auto"/>
            <w:vAlign w:val="center"/>
          </w:tcPr>
          <w:p w:rsidR="00E57A2B" w:rsidRDefault="00E57A2B">
            <w:pPr>
              <w:jc w:val="center"/>
              <w:rPr>
                <w:rFonts w:ascii="Arial" w:hAnsi="Arial" w:cs="Arial"/>
                <w:b/>
                <w:bCs/>
                <w:color w:val="000000"/>
                <w:sz w:val="24"/>
                <w:szCs w:val="24"/>
              </w:rPr>
            </w:pPr>
            <w:r>
              <w:rPr>
                <w:rFonts w:ascii="Arial" w:hAnsi="Arial" w:cs="Arial"/>
                <w:b/>
                <w:bCs/>
                <w:color w:val="000000"/>
              </w:rPr>
              <w:t>02-H00-016</w:t>
            </w:r>
          </w:p>
        </w:tc>
        <w:tc>
          <w:tcPr>
            <w:tcW w:w="4820" w:type="dxa"/>
            <w:tcBorders>
              <w:top w:val="nil"/>
              <w:left w:val="nil"/>
              <w:bottom w:val="single" w:sz="4" w:space="0" w:color="auto"/>
              <w:right w:val="single" w:sz="4" w:space="0" w:color="auto"/>
            </w:tcBorders>
            <w:shd w:val="clear" w:color="auto" w:fill="auto"/>
            <w:vAlign w:val="center"/>
          </w:tcPr>
          <w:p w:rsidR="00E57A2B" w:rsidRDefault="00E57A2B">
            <w:pPr>
              <w:jc w:val="center"/>
              <w:rPr>
                <w:rFonts w:ascii="Arial" w:hAnsi="Arial" w:cs="Arial"/>
                <w:b/>
                <w:bCs/>
                <w:color w:val="000000"/>
                <w:sz w:val="24"/>
                <w:szCs w:val="24"/>
              </w:rPr>
            </w:pPr>
            <w:r>
              <w:rPr>
                <w:rFonts w:ascii="Arial" w:hAnsi="Arial" w:cs="Arial"/>
                <w:b/>
                <w:bCs/>
                <w:color w:val="000000"/>
              </w:rPr>
              <w:t>Ursodeoxycholic acid  300mg Tablet or Capsule</w:t>
            </w:r>
          </w:p>
        </w:tc>
        <w:tc>
          <w:tcPr>
            <w:tcW w:w="1984" w:type="dxa"/>
            <w:tcBorders>
              <w:top w:val="nil"/>
              <w:left w:val="nil"/>
              <w:bottom w:val="single" w:sz="4" w:space="0" w:color="auto"/>
              <w:right w:val="single" w:sz="4" w:space="0" w:color="auto"/>
            </w:tcBorders>
            <w:shd w:val="clear" w:color="auto" w:fill="auto"/>
            <w:vAlign w:val="center"/>
          </w:tcPr>
          <w:p w:rsidR="00E57A2B" w:rsidRDefault="00E57A2B">
            <w:pPr>
              <w:jc w:val="center"/>
              <w:rPr>
                <w:rFonts w:ascii="Calibri" w:hAnsi="Calibri" w:cs="Arial"/>
                <w:b/>
                <w:bCs/>
                <w:color w:val="000000"/>
                <w:sz w:val="24"/>
                <w:szCs w:val="24"/>
              </w:rPr>
            </w:pPr>
            <w:r>
              <w:rPr>
                <w:rFonts w:ascii="Calibri" w:hAnsi="Calibri" w:cs="Arial"/>
                <w:b/>
                <w:bCs/>
                <w:color w:val="000000"/>
              </w:rPr>
              <w:t>209750</w:t>
            </w:r>
          </w:p>
        </w:tc>
        <w:tc>
          <w:tcPr>
            <w:tcW w:w="1843" w:type="dxa"/>
            <w:tcBorders>
              <w:top w:val="nil"/>
              <w:left w:val="nil"/>
              <w:bottom w:val="single" w:sz="4" w:space="0" w:color="auto"/>
              <w:right w:val="single" w:sz="4" w:space="0" w:color="auto"/>
            </w:tcBorders>
            <w:shd w:val="clear" w:color="auto" w:fill="auto"/>
            <w:vAlign w:val="center"/>
          </w:tcPr>
          <w:p w:rsidR="00E57A2B" w:rsidRDefault="00E57A2B">
            <w:pPr>
              <w:jc w:val="center"/>
              <w:rPr>
                <w:rFonts w:ascii="Calibri" w:hAnsi="Calibri" w:cs="Arial"/>
                <w:b/>
                <w:bCs/>
                <w:color w:val="000000"/>
                <w:sz w:val="24"/>
                <w:szCs w:val="24"/>
              </w:rPr>
            </w:pPr>
            <w:r>
              <w:rPr>
                <w:rFonts w:ascii="Calibri" w:hAnsi="Calibri" w:cs="Arial"/>
                <w:b/>
                <w:bCs/>
                <w:color w:val="000000"/>
              </w:rPr>
              <w:t>60 tab</w:t>
            </w:r>
          </w:p>
        </w:tc>
        <w:tc>
          <w:tcPr>
            <w:tcW w:w="2577" w:type="dxa"/>
            <w:tcBorders>
              <w:top w:val="nil"/>
              <w:left w:val="nil"/>
              <w:bottom w:val="single" w:sz="4" w:space="0" w:color="auto"/>
              <w:right w:val="single" w:sz="4" w:space="0" w:color="auto"/>
            </w:tcBorders>
            <w:shd w:val="clear" w:color="auto" w:fill="auto"/>
            <w:noWrap/>
            <w:vAlign w:val="center"/>
          </w:tcPr>
          <w:p w:rsidR="00E57A2B" w:rsidRDefault="00E57A2B">
            <w:pPr>
              <w:jc w:val="center"/>
              <w:rPr>
                <w:rFonts w:ascii="Calibri" w:hAnsi="Calibri" w:cs="Arial"/>
                <w:b/>
                <w:bCs/>
                <w:color w:val="000000"/>
                <w:sz w:val="24"/>
                <w:szCs w:val="24"/>
              </w:rPr>
            </w:pPr>
            <w:r>
              <w:rPr>
                <w:rFonts w:ascii="Calibri" w:hAnsi="Calibri" w:cs="Arial"/>
                <w:b/>
                <w:bCs/>
                <w:color w:val="000000"/>
              </w:rPr>
              <w:t>12000</w:t>
            </w:r>
          </w:p>
        </w:tc>
      </w:tr>
    </w:tbl>
    <w:p w:rsidR="006F0163" w:rsidRDefault="006F0163"/>
    <w:p w:rsidR="006C79F8" w:rsidRDefault="006C79F8"/>
    <w:p w:rsidR="006C79F8" w:rsidRDefault="006C79F8"/>
    <w:p w:rsidR="006C79F8" w:rsidRDefault="006C79F8"/>
    <w:p w:rsidR="006C79F8" w:rsidRDefault="006C79F8"/>
    <w:p w:rsidR="00540120" w:rsidRDefault="00540120"/>
    <w:p w:rsidR="00540120" w:rsidRDefault="00540120"/>
    <w:p w:rsidR="00540120" w:rsidRDefault="00540120"/>
    <w:p w:rsidR="006C79F8" w:rsidRDefault="006C79F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lastRenderedPageBreak/>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lastRenderedPageBreak/>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lastRenderedPageBreak/>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E57A2B">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A63ABA">
              <w:rPr>
                <w:rFonts w:hint="cs"/>
                <w:color w:val="000000"/>
                <w:sz w:val="24"/>
                <w:szCs w:val="24"/>
                <w:highlight w:val="yellow"/>
                <w:rtl/>
              </w:rPr>
              <w:t xml:space="preserve">مصانع وطني </w:t>
            </w:r>
            <w:r w:rsidR="00E57A2B">
              <w:rPr>
                <w:sz w:val="32"/>
                <w:szCs w:val="32"/>
                <w:lang w:bidi="ar-IQ"/>
              </w:rPr>
              <w:t>12</w:t>
            </w:r>
            <w:r w:rsidR="00285C21">
              <w:rPr>
                <w:sz w:val="32"/>
                <w:szCs w:val="32"/>
                <w:lang w:bidi="ar-IQ"/>
              </w:rPr>
              <w:t>\2023</w:t>
            </w:r>
            <w:r w:rsidR="00662BB7">
              <w:rPr>
                <w:rFonts w:hint="cs"/>
                <w:sz w:val="32"/>
                <w:szCs w:val="32"/>
                <w:rtl/>
                <w:lang w:bidi="ar-IQ"/>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E57A2B">
            <w:pPr>
              <w:bidi/>
              <w:spacing w:line="300" w:lineRule="exact"/>
              <w:jc w:val="both"/>
              <w:rPr>
                <w:color w:val="000000"/>
                <w:sz w:val="24"/>
                <w:szCs w:val="24"/>
                <w:rtl/>
                <w:lang w:bidi="ar-IQ"/>
              </w:rPr>
            </w:pPr>
            <w:r w:rsidRPr="00825AE7">
              <w:rPr>
                <w:color w:val="000000"/>
                <w:sz w:val="24"/>
                <w:szCs w:val="24"/>
                <w:rtl/>
              </w:rPr>
              <w:t xml:space="preserve">رقم كتاب الدعوة </w:t>
            </w:r>
            <w:r w:rsidR="00C42FB5">
              <w:rPr>
                <w:color w:val="000000"/>
                <w:sz w:val="24"/>
                <w:szCs w:val="24"/>
                <w:lang w:bidi="ar-IQ"/>
              </w:rPr>
              <w:t>:</w:t>
            </w:r>
            <w:r w:rsidR="00E57A2B">
              <w:rPr>
                <w:rFonts w:hint="cs"/>
                <w:color w:val="000000"/>
                <w:sz w:val="24"/>
                <w:szCs w:val="24"/>
                <w:rtl/>
                <w:lang w:bidi="ar-IQ"/>
              </w:rPr>
              <w:t>12</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lastRenderedPageBreak/>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w:t>
            </w:r>
            <w:r w:rsidRPr="00825AE7">
              <w:rPr>
                <w:rFonts w:hint="cs"/>
                <w:b/>
                <w:bCs/>
                <w:color w:val="000000" w:themeColor="text1"/>
                <w:sz w:val="24"/>
                <w:szCs w:val="24"/>
                <w:rtl/>
              </w:rPr>
              <w:lastRenderedPageBreak/>
              <w:t>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lastRenderedPageBreak/>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45066C">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45066C">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825AE7">
              <w:rPr>
                <w:rFonts w:ascii="Times New Roman" w:eastAsia="Times New Roman" w:hAnsi="Times New Roman" w:cs="Times New Roman" w:hint="cs"/>
                <w:sz w:val="24"/>
                <w:szCs w:val="24"/>
                <w:highlight w:val="cyan"/>
                <w:rtl/>
              </w:rPr>
              <w:t>قبل / /   202</w:t>
            </w:r>
            <w:r w:rsidR="0045066C">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lastRenderedPageBreak/>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lastRenderedPageBreak/>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E57A2B">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E57A2B">
              <w:rPr>
                <w:rFonts w:hint="cs"/>
                <w:color w:val="000000"/>
                <w:sz w:val="24"/>
                <w:szCs w:val="24"/>
                <w:highlight w:val="cyan"/>
                <w:rtl/>
                <w:lang w:bidi="ar-IQ"/>
              </w:rPr>
              <w:t>30</w:t>
            </w:r>
            <w:r w:rsidRPr="00825AE7">
              <w:rPr>
                <w:rFonts w:hint="cs"/>
                <w:color w:val="000000"/>
                <w:sz w:val="24"/>
                <w:szCs w:val="24"/>
                <w:highlight w:val="cyan"/>
                <w:rtl/>
                <w:lang w:bidi="ar-IQ"/>
              </w:rPr>
              <w:t xml:space="preserve">/   </w:t>
            </w:r>
            <w:r w:rsidR="00E57A2B">
              <w:rPr>
                <w:rFonts w:hint="cs"/>
                <w:color w:val="000000"/>
                <w:sz w:val="24"/>
                <w:szCs w:val="24"/>
                <w:highlight w:val="cyan"/>
                <w:rtl/>
                <w:lang w:bidi="ar-IQ"/>
              </w:rPr>
              <w:t>7</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45066C">
              <w:rPr>
                <w:rFonts w:hint="cs"/>
                <w:color w:val="000000"/>
                <w:sz w:val="24"/>
                <w:szCs w:val="24"/>
                <w:highlight w:val="cyan"/>
                <w:rtl/>
                <w:lang w:bidi="ar-IQ"/>
              </w:rPr>
              <w:t>3</w:t>
            </w:r>
            <w:r w:rsidRPr="00825AE7">
              <w:rPr>
                <w:rFonts w:hint="cs"/>
                <w:color w:val="000000"/>
                <w:sz w:val="24"/>
                <w:szCs w:val="24"/>
                <w:highlight w:val="cyan"/>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E57A2B">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E57A2B">
              <w:rPr>
                <w:rFonts w:hint="cs"/>
                <w:color w:val="000000"/>
                <w:sz w:val="24"/>
                <w:szCs w:val="24"/>
                <w:highlight w:val="cyan"/>
                <w:rtl/>
              </w:rPr>
              <w:t>1</w:t>
            </w:r>
            <w:r w:rsidRPr="00825AE7">
              <w:rPr>
                <w:rFonts w:hint="cs"/>
                <w:color w:val="000000"/>
                <w:sz w:val="24"/>
                <w:szCs w:val="24"/>
                <w:highlight w:val="cyan"/>
                <w:rtl/>
              </w:rPr>
              <w:t xml:space="preserve">/ </w:t>
            </w:r>
            <w:r w:rsidR="00E57A2B">
              <w:rPr>
                <w:rFonts w:hint="cs"/>
                <w:color w:val="000000"/>
                <w:sz w:val="24"/>
                <w:szCs w:val="24"/>
                <w:highlight w:val="cyan"/>
                <w:rtl/>
              </w:rPr>
              <w:t>8</w:t>
            </w:r>
            <w:r w:rsidRPr="00825AE7">
              <w:rPr>
                <w:rFonts w:hint="cs"/>
                <w:color w:val="000000"/>
                <w:sz w:val="24"/>
                <w:szCs w:val="24"/>
                <w:highlight w:val="cyan"/>
                <w:rtl/>
              </w:rPr>
              <w:t xml:space="preserve"> /</w:t>
            </w:r>
            <w:r w:rsidR="00FD3113">
              <w:rPr>
                <w:rFonts w:hint="cs"/>
                <w:color w:val="000000"/>
                <w:sz w:val="24"/>
                <w:szCs w:val="24"/>
                <w:rtl/>
              </w:rPr>
              <w:t>202</w:t>
            </w:r>
            <w:r w:rsidR="0045066C">
              <w:rPr>
                <w:rFonts w:hint="cs"/>
                <w:color w:val="000000"/>
                <w:sz w:val="24"/>
                <w:szCs w:val="24"/>
                <w:rtl/>
              </w:rPr>
              <w:t>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lastRenderedPageBreak/>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552691"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662BB7" w:rsidRDefault="00662BB7"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552691"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552691"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662BB7" w:rsidRDefault="00662BB7"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552691"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w:t>
            </w:r>
            <w:r w:rsidRPr="00825AE7">
              <w:rPr>
                <w:rFonts w:hint="cs"/>
                <w:color w:val="000000"/>
                <w:sz w:val="24"/>
                <w:szCs w:val="24"/>
                <w:rtl/>
              </w:rPr>
              <w:lastRenderedPageBreak/>
              <w:t xml:space="preserve">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lastRenderedPageBreak/>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lastRenderedPageBreak/>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E57A2B">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E57A2B">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E57A2B">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E57A2B">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E57A2B">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E57A2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E57A2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E57A2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E57A2B">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E57A2B">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E57A2B">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E57A2B">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E57A2B">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E57A2B">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E57A2B">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E57A2B">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E57A2B">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E57A2B">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E57A2B">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E57A2B">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E57A2B">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E57A2B">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E57A2B">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E57A2B">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E57A2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E57A2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E57A2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E57A2B">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E57A2B">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E57A2B">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E57A2B">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E57A2B">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E57A2B">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E57A2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E57A2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E57A2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E57A2B">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E57A2B">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E57A2B">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E57A2B">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E57A2B">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E57A2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E57A2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E57A2B">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E57A2B">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E57A2B">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E57A2B">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E57A2B">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E57A2B">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E57A2B">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E57A2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E57A2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E57A2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E57A2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E57A2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E57A2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w:t>
            </w:r>
            <w:r w:rsidRPr="00703721">
              <w:rPr>
                <w:rFonts w:hint="cs"/>
                <w:szCs w:val="24"/>
                <w:rtl/>
                <w:lang w:bidi="ar-IQ"/>
              </w:rPr>
              <w:lastRenderedPageBreak/>
              <w:t xml:space="preserve">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221"/>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936CF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58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936CF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221"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69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BC09E1" w:rsidRPr="006F42FC" w:rsidTr="00C52DB9">
        <w:tc>
          <w:tcPr>
            <w:tcW w:w="720" w:type="dxa"/>
            <w:shd w:val="clear" w:color="auto" w:fill="BFBFBF"/>
            <w:vAlign w:val="center"/>
          </w:tcPr>
          <w:p w:rsidR="00BC09E1" w:rsidRDefault="00BC09E1"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C09E1" w:rsidRPr="006F42FC"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C09E1" w:rsidRPr="006F42FC"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221" w:type="dxa"/>
            <w:shd w:val="clear" w:color="auto" w:fill="BFBFBF"/>
            <w:vAlign w:val="bottom"/>
          </w:tcPr>
          <w:p w:rsidR="00BC09E1" w:rsidRDefault="00E57A2B">
            <w:pPr>
              <w:rPr>
                <w:rFonts w:ascii="Calibri" w:hAnsi="Calibri" w:cs="Calibri"/>
                <w:color w:val="000000"/>
              </w:rPr>
            </w:pPr>
            <w:r w:rsidRPr="00E57A2B">
              <w:rPr>
                <w:rFonts w:ascii="Calibri" w:hAnsi="Calibri" w:cs="Calibri"/>
                <w:color w:val="000000"/>
              </w:rPr>
              <w:t>02-H00-016</w:t>
            </w:r>
          </w:p>
        </w:tc>
        <w:tc>
          <w:tcPr>
            <w:tcW w:w="2697" w:type="dxa"/>
            <w:shd w:val="clear" w:color="auto" w:fill="BFBFBF"/>
            <w:vAlign w:val="bottom"/>
          </w:tcPr>
          <w:p w:rsidR="00BC09E1" w:rsidRDefault="00E57A2B">
            <w:pPr>
              <w:rPr>
                <w:rFonts w:ascii="Calibri" w:hAnsi="Calibri" w:cs="Calibri"/>
                <w:color w:val="000000"/>
              </w:rPr>
            </w:pPr>
            <w:r w:rsidRPr="00E57A2B">
              <w:rPr>
                <w:rFonts w:ascii="Calibri" w:hAnsi="Calibri" w:cs="Calibri"/>
                <w:color w:val="000000"/>
              </w:rPr>
              <w:t>Ursodeoxycholic acid  300mg Tablet or Capsule</w:t>
            </w:r>
            <w:bookmarkStart w:id="27" w:name="_GoBack"/>
            <w:bookmarkEnd w:id="27"/>
          </w:p>
        </w:tc>
        <w:tc>
          <w:tcPr>
            <w:tcW w:w="566" w:type="dxa"/>
            <w:shd w:val="clear" w:color="auto" w:fill="BFBFBF"/>
            <w:vAlign w:val="center"/>
          </w:tcPr>
          <w:p w:rsidR="00BC09E1" w:rsidRPr="006F42FC"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C09E1" w:rsidRPr="006F42FC"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C09E1" w:rsidRPr="006F42FC"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C09E1" w:rsidRPr="006F42FC"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C09E1" w:rsidRPr="006F42FC"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C09E1" w:rsidRPr="006F42FC"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C09E1" w:rsidRPr="006F42FC"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C09E1" w:rsidRPr="006F42FC"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C09E1"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C09E1" w:rsidRPr="006F42FC"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C09E1" w:rsidRPr="006F42FC"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C09E1" w:rsidRPr="006F42FC"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C09E1" w:rsidRPr="006F42FC"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C09E1" w:rsidRPr="006F42FC"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C09E1" w:rsidRPr="006F42FC"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C09E1"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C09E1" w:rsidRPr="006F42FC"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C09E1"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C09E1" w:rsidRPr="006F42FC"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C09E1" w:rsidRPr="006F42FC"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C09E1" w:rsidRPr="006F42FC" w:rsidRDefault="00BC09E1"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552691"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lastRenderedPageBreak/>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691" w:rsidRDefault="00552691" w:rsidP="00400881">
      <w:pPr>
        <w:spacing w:after="0" w:line="240" w:lineRule="auto"/>
      </w:pPr>
      <w:r>
        <w:separator/>
      </w:r>
    </w:p>
  </w:endnote>
  <w:endnote w:type="continuationSeparator" w:id="0">
    <w:p w:rsidR="00552691" w:rsidRDefault="00552691"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662BB7" w:rsidRPr="00D1391E" w:rsidRDefault="00662BB7"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E57A2B">
          <w:rPr>
            <w:noProof/>
            <w:sz w:val="24"/>
            <w:szCs w:val="24"/>
          </w:rPr>
          <w:t>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691" w:rsidRDefault="00552691" w:rsidP="00400881">
      <w:pPr>
        <w:spacing w:after="0" w:line="240" w:lineRule="auto"/>
      </w:pPr>
      <w:r>
        <w:separator/>
      </w:r>
    </w:p>
  </w:footnote>
  <w:footnote w:type="continuationSeparator" w:id="0">
    <w:p w:rsidR="00552691" w:rsidRDefault="00552691" w:rsidP="00400881">
      <w:pPr>
        <w:spacing w:after="0" w:line="240" w:lineRule="auto"/>
      </w:pPr>
      <w:r>
        <w:continuationSeparator/>
      </w:r>
    </w:p>
  </w:footnote>
  <w:footnote w:id="1">
    <w:p w:rsidR="00662BB7" w:rsidRPr="00E00D5D" w:rsidRDefault="00662BB7"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662BB7" w:rsidRPr="003D09C4" w:rsidRDefault="00662BB7"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2BB7" w:rsidRDefault="00662BB7">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662BB7" w:rsidRDefault="00662B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2BB7" w:rsidRDefault="00662BB7"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2013"/>
    <w:rsid w:val="00073752"/>
    <w:rsid w:val="00077452"/>
    <w:rsid w:val="000830BE"/>
    <w:rsid w:val="00085210"/>
    <w:rsid w:val="00091AE6"/>
    <w:rsid w:val="000A5161"/>
    <w:rsid w:val="000C0785"/>
    <w:rsid w:val="000D27E4"/>
    <w:rsid w:val="000E0279"/>
    <w:rsid w:val="000E517D"/>
    <w:rsid w:val="00101766"/>
    <w:rsid w:val="00111594"/>
    <w:rsid w:val="001204A9"/>
    <w:rsid w:val="00120DE8"/>
    <w:rsid w:val="00126EDB"/>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39E3"/>
    <w:rsid w:val="00261EC8"/>
    <w:rsid w:val="00263140"/>
    <w:rsid w:val="00266537"/>
    <w:rsid w:val="00267A02"/>
    <w:rsid w:val="002800C9"/>
    <w:rsid w:val="0028343A"/>
    <w:rsid w:val="00285C21"/>
    <w:rsid w:val="00287D79"/>
    <w:rsid w:val="00292406"/>
    <w:rsid w:val="00292A7E"/>
    <w:rsid w:val="002945B4"/>
    <w:rsid w:val="002A2D33"/>
    <w:rsid w:val="002A6643"/>
    <w:rsid w:val="002A69B6"/>
    <w:rsid w:val="002B0E81"/>
    <w:rsid w:val="002C0BDB"/>
    <w:rsid w:val="002C5E16"/>
    <w:rsid w:val="002D3D23"/>
    <w:rsid w:val="002D467D"/>
    <w:rsid w:val="002D4EAB"/>
    <w:rsid w:val="002F062E"/>
    <w:rsid w:val="002F276D"/>
    <w:rsid w:val="003007F1"/>
    <w:rsid w:val="00302D64"/>
    <w:rsid w:val="00302DD5"/>
    <w:rsid w:val="00303F98"/>
    <w:rsid w:val="00304FC3"/>
    <w:rsid w:val="003100B9"/>
    <w:rsid w:val="003129C7"/>
    <w:rsid w:val="00320E20"/>
    <w:rsid w:val="00327B88"/>
    <w:rsid w:val="00334C8B"/>
    <w:rsid w:val="00341837"/>
    <w:rsid w:val="00341EAC"/>
    <w:rsid w:val="003425E8"/>
    <w:rsid w:val="00343558"/>
    <w:rsid w:val="00350988"/>
    <w:rsid w:val="003560D5"/>
    <w:rsid w:val="00361921"/>
    <w:rsid w:val="00365F5C"/>
    <w:rsid w:val="0036722A"/>
    <w:rsid w:val="00367A91"/>
    <w:rsid w:val="00372072"/>
    <w:rsid w:val="00375559"/>
    <w:rsid w:val="00382749"/>
    <w:rsid w:val="00384BD0"/>
    <w:rsid w:val="0039132C"/>
    <w:rsid w:val="003A010C"/>
    <w:rsid w:val="003A08A1"/>
    <w:rsid w:val="003A2CDE"/>
    <w:rsid w:val="003A35B1"/>
    <w:rsid w:val="003A6E0C"/>
    <w:rsid w:val="003B002A"/>
    <w:rsid w:val="003B1D3F"/>
    <w:rsid w:val="003B3AD3"/>
    <w:rsid w:val="003B7DDD"/>
    <w:rsid w:val="003C0993"/>
    <w:rsid w:val="003C421B"/>
    <w:rsid w:val="003C54A7"/>
    <w:rsid w:val="003D4B98"/>
    <w:rsid w:val="003D625D"/>
    <w:rsid w:val="003D6360"/>
    <w:rsid w:val="003E0A83"/>
    <w:rsid w:val="003E1970"/>
    <w:rsid w:val="003E66F8"/>
    <w:rsid w:val="003F0EA4"/>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B85"/>
    <w:rsid w:val="00490BB5"/>
    <w:rsid w:val="00493564"/>
    <w:rsid w:val="00494EC7"/>
    <w:rsid w:val="004A2ED0"/>
    <w:rsid w:val="004A4BE4"/>
    <w:rsid w:val="004B0571"/>
    <w:rsid w:val="004B2569"/>
    <w:rsid w:val="004C2260"/>
    <w:rsid w:val="004C69F8"/>
    <w:rsid w:val="004D3445"/>
    <w:rsid w:val="004E3B13"/>
    <w:rsid w:val="004E6B5F"/>
    <w:rsid w:val="004F2195"/>
    <w:rsid w:val="004F469D"/>
    <w:rsid w:val="004F7417"/>
    <w:rsid w:val="004F76B1"/>
    <w:rsid w:val="0050126E"/>
    <w:rsid w:val="00501BA8"/>
    <w:rsid w:val="00504239"/>
    <w:rsid w:val="00504DA0"/>
    <w:rsid w:val="00511DB3"/>
    <w:rsid w:val="00523C07"/>
    <w:rsid w:val="00524619"/>
    <w:rsid w:val="005257F0"/>
    <w:rsid w:val="00527ADB"/>
    <w:rsid w:val="00531F3C"/>
    <w:rsid w:val="00533CF4"/>
    <w:rsid w:val="0053566D"/>
    <w:rsid w:val="005376EF"/>
    <w:rsid w:val="00540120"/>
    <w:rsid w:val="00547640"/>
    <w:rsid w:val="00552691"/>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5F063C"/>
    <w:rsid w:val="0060353D"/>
    <w:rsid w:val="006115F5"/>
    <w:rsid w:val="006121A0"/>
    <w:rsid w:val="006123E0"/>
    <w:rsid w:val="00631C62"/>
    <w:rsid w:val="00633B95"/>
    <w:rsid w:val="00635627"/>
    <w:rsid w:val="0063575B"/>
    <w:rsid w:val="00636A7D"/>
    <w:rsid w:val="0064199C"/>
    <w:rsid w:val="006435DC"/>
    <w:rsid w:val="006436F0"/>
    <w:rsid w:val="0064382B"/>
    <w:rsid w:val="00644B3F"/>
    <w:rsid w:val="00655A35"/>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4937"/>
    <w:rsid w:val="006E69A4"/>
    <w:rsid w:val="006F0163"/>
    <w:rsid w:val="006F20C3"/>
    <w:rsid w:val="00701901"/>
    <w:rsid w:val="00703721"/>
    <w:rsid w:val="00706B5D"/>
    <w:rsid w:val="00711762"/>
    <w:rsid w:val="007143D2"/>
    <w:rsid w:val="00717A4F"/>
    <w:rsid w:val="00724507"/>
    <w:rsid w:val="00726812"/>
    <w:rsid w:val="007315BD"/>
    <w:rsid w:val="0073588C"/>
    <w:rsid w:val="00745F0A"/>
    <w:rsid w:val="00746BA1"/>
    <w:rsid w:val="00746F0D"/>
    <w:rsid w:val="007540AB"/>
    <w:rsid w:val="007612C7"/>
    <w:rsid w:val="0077480E"/>
    <w:rsid w:val="007754AA"/>
    <w:rsid w:val="00784DDB"/>
    <w:rsid w:val="007866A9"/>
    <w:rsid w:val="007875BB"/>
    <w:rsid w:val="007954B2"/>
    <w:rsid w:val="007963B9"/>
    <w:rsid w:val="007A2366"/>
    <w:rsid w:val="007B630A"/>
    <w:rsid w:val="007B673D"/>
    <w:rsid w:val="007B6D2A"/>
    <w:rsid w:val="007C097E"/>
    <w:rsid w:val="007C2B76"/>
    <w:rsid w:val="007C3670"/>
    <w:rsid w:val="007C4FBE"/>
    <w:rsid w:val="007C54F3"/>
    <w:rsid w:val="007D08A4"/>
    <w:rsid w:val="007D6262"/>
    <w:rsid w:val="007E0493"/>
    <w:rsid w:val="007E3363"/>
    <w:rsid w:val="007F2565"/>
    <w:rsid w:val="007F3A04"/>
    <w:rsid w:val="007F46DD"/>
    <w:rsid w:val="007F7F21"/>
    <w:rsid w:val="00806889"/>
    <w:rsid w:val="00813E63"/>
    <w:rsid w:val="008159CA"/>
    <w:rsid w:val="00821F49"/>
    <w:rsid w:val="00824E32"/>
    <w:rsid w:val="00825AE7"/>
    <w:rsid w:val="00826799"/>
    <w:rsid w:val="00830F8F"/>
    <w:rsid w:val="00831CEB"/>
    <w:rsid w:val="00837A21"/>
    <w:rsid w:val="00841C53"/>
    <w:rsid w:val="00844C91"/>
    <w:rsid w:val="00847112"/>
    <w:rsid w:val="0086316C"/>
    <w:rsid w:val="00874D0D"/>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D65"/>
    <w:rsid w:val="008C1B20"/>
    <w:rsid w:val="008C6EA8"/>
    <w:rsid w:val="008D2755"/>
    <w:rsid w:val="008D34A2"/>
    <w:rsid w:val="008D681B"/>
    <w:rsid w:val="008E10F1"/>
    <w:rsid w:val="008E3F66"/>
    <w:rsid w:val="008E5225"/>
    <w:rsid w:val="008E5C62"/>
    <w:rsid w:val="00904CC2"/>
    <w:rsid w:val="009100DB"/>
    <w:rsid w:val="009134A7"/>
    <w:rsid w:val="00915D6D"/>
    <w:rsid w:val="00920564"/>
    <w:rsid w:val="00923AA7"/>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7E9F"/>
    <w:rsid w:val="009A19B7"/>
    <w:rsid w:val="009A54BD"/>
    <w:rsid w:val="009A68EC"/>
    <w:rsid w:val="009B18C7"/>
    <w:rsid w:val="009C17AF"/>
    <w:rsid w:val="009C1FCB"/>
    <w:rsid w:val="009C35D3"/>
    <w:rsid w:val="009C62F8"/>
    <w:rsid w:val="009C7328"/>
    <w:rsid w:val="009C7D1F"/>
    <w:rsid w:val="009D0B69"/>
    <w:rsid w:val="009D44EB"/>
    <w:rsid w:val="009E3519"/>
    <w:rsid w:val="009E4BD3"/>
    <w:rsid w:val="009E6BD6"/>
    <w:rsid w:val="009F3C67"/>
    <w:rsid w:val="00A02729"/>
    <w:rsid w:val="00A1307A"/>
    <w:rsid w:val="00A156A0"/>
    <w:rsid w:val="00A16E5B"/>
    <w:rsid w:val="00A16F42"/>
    <w:rsid w:val="00A17A95"/>
    <w:rsid w:val="00A211D2"/>
    <w:rsid w:val="00A2321F"/>
    <w:rsid w:val="00A23B53"/>
    <w:rsid w:val="00A23C40"/>
    <w:rsid w:val="00A25417"/>
    <w:rsid w:val="00A267B8"/>
    <w:rsid w:val="00A46F40"/>
    <w:rsid w:val="00A54F20"/>
    <w:rsid w:val="00A61F74"/>
    <w:rsid w:val="00A63ABA"/>
    <w:rsid w:val="00A647CF"/>
    <w:rsid w:val="00A76169"/>
    <w:rsid w:val="00A82714"/>
    <w:rsid w:val="00A83809"/>
    <w:rsid w:val="00A856B4"/>
    <w:rsid w:val="00A858A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2B27"/>
    <w:rsid w:val="00B56BD0"/>
    <w:rsid w:val="00B60B3B"/>
    <w:rsid w:val="00B60D46"/>
    <w:rsid w:val="00B61280"/>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09E1"/>
    <w:rsid w:val="00BC52BD"/>
    <w:rsid w:val="00BC65D4"/>
    <w:rsid w:val="00BD1CA6"/>
    <w:rsid w:val="00BD4733"/>
    <w:rsid w:val="00BD580A"/>
    <w:rsid w:val="00BD68EA"/>
    <w:rsid w:val="00BF68F4"/>
    <w:rsid w:val="00C0233C"/>
    <w:rsid w:val="00C07130"/>
    <w:rsid w:val="00C10727"/>
    <w:rsid w:val="00C159AF"/>
    <w:rsid w:val="00C172C7"/>
    <w:rsid w:val="00C1761B"/>
    <w:rsid w:val="00C21986"/>
    <w:rsid w:val="00C2386E"/>
    <w:rsid w:val="00C31038"/>
    <w:rsid w:val="00C32A53"/>
    <w:rsid w:val="00C3528C"/>
    <w:rsid w:val="00C36467"/>
    <w:rsid w:val="00C42571"/>
    <w:rsid w:val="00C42FB5"/>
    <w:rsid w:val="00C45127"/>
    <w:rsid w:val="00C46A23"/>
    <w:rsid w:val="00C50130"/>
    <w:rsid w:val="00C50F1C"/>
    <w:rsid w:val="00C54A46"/>
    <w:rsid w:val="00C55B6A"/>
    <w:rsid w:val="00C55D43"/>
    <w:rsid w:val="00C5602B"/>
    <w:rsid w:val="00C641ED"/>
    <w:rsid w:val="00C71A9E"/>
    <w:rsid w:val="00C722EB"/>
    <w:rsid w:val="00C727F7"/>
    <w:rsid w:val="00C75AA3"/>
    <w:rsid w:val="00C84617"/>
    <w:rsid w:val="00C8480D"/>
    <w:rsid w:val="00C8534C"/>
    <w:rsid w:val="00C9073B"/>
    <w:rsid w:val="00C95518"/>
    <w:rsid w:val="00CA07B7"/>
    <w:rsid w:val="00CA4D9C"/>
    <w:rsid w:val="00CA5E96"/>
    <w:rsid w:val="00CA6A23"/>
    <w:rsid w:val="00CA6E75"/>
    <w:rsid w:val="00CB43F5"/>
    <w:rsid w:val="00CB5069"/>
    <w:rsid w:val="00CB7F62"/>
    <w:rsid w:val="00CC7FEE"/>
    <w:rsid w:val="00CD1995"/>
    <w:rsid w:val="00CD31BB"/>
    <w:rsid w:val="00CD33CB"/>
    <w:rsid w:val="00CD5803"/>
    <w:rsid w:val="00CD5FE1"/>
    <w:rsid w:val="00CE3041"/>
    <w:rsid w:val="00CE3FB1"/>
    <w:rsid w:val="00CF1B9A"/>
    <w:rsid w:val="00CF22FB"/>
    <w:rsid w:val="00CF27BA"/>
    <w:rsid w:val="00D00261"/>
    <w:rsid w:val="00D06625"/>
    <w:rsid w:val="00D13217"/>
    <w:rsid w:val="00D1391E"/>
    <w:rsid w:val="00D2216A"/>
    <w:rsid w:val="00D23965"/>
    <w:rsid w:val="00D30278"/>
    <w:rsid w:val="00D330CE"/>
    <w:rsid w:val="00D46B5D"/>
    <w:rsid w:val="00D542D4"/>
    <w:rsid w:val="00D57391"/>
    <w:rsid w:val="00D604C5"/>
    <w:rsid w:val="00D60D09"/>
    <w:rsid w:val="00D646CC"/>
    <w:rsid w:val="00D66811"/>
    <w:rsid w:val="00D677C2"/>
    <w:rsid w:val="00D7041E"/>
    <w:rsid w:val="00D706DD"/>
    <w:rsid w:val="00D71EC9"/>
    <w:rsid w:val="00D736A7"/>
    <w:rsid w:val="00D74B0A"/>
    <w:rsid w:val="00D76509"/>
    <w:rsid w:val="00D82393"/>
    <w:rsid w:val="00D82DA0"/>
    <w:rsid w:val="00D85163"/>
    <w:rsid w:val="00D92D60"/>
    <w:rsid w:val="00DB449E"/>
    <w:rsid w:val="00DB5A1F"/>
    <w:rsid w:val="00DC1578"/>
    <w:rsid w:val="00DD0E7B"/>
    <w:rsid w:val="00DD5C6D"/>
    <w:rsid w:val="00DE11BF"/>
    <w:rsid w:val="00DF68FB"/>
    <w:rsid w:val="00DF6F34"/>
    <w:rsid w:val="00E00D5D"/>
    <w:rsid w:val="00E07E72"/>
    <w:rsid w:val="00E10844"/>
    <w:rsid w:val="00E13F84"/>
    <w:rsid w:val="00E154E4"/>
    <w:rsid w:val="00E166B2"/>
    <w:rsid w:val="00E16C3B"/>
    <w:rsid w:val="00E217A2"/>
    <w:rsid w:val="00E250CB"/>
    <w:rsid w:val="00E26B62"/>
    <w:rsid w:val="00E34B6B"/>
    <w:rsid w:val="00E41F9E"/>
    <w:rsid w:val="00E431BB"/>
    <w:rsid w:val="00E46312"/>
    <w:rsid w:val="00E56E73"/>
    <w:rsid w:val="00E57A2B"/>
    <w:rsid w:val="00E63CF7"/>
    <w:rsid w:val="00E66831"/>
    <w:rsid w:val="00E71B09"/>
    <w:rsid w:val="00E8124B"/>
    <w:rsid w:val="00E8201C"/>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61D66"/>
    <w:rsid w:val="00F63E18"/>
    <w:rsid w:val="00F836D8"/>
    <w:rsid w:val="00F92C08"/>
    <w:rsid w:val="00F93D0B"/>
    <w:rsid w:val="00F9582B"/>
    <w:rsid w:val="00F95B66"/>
    <w:rsid w:val="00F963E6"/>
    <w:rsid w:val="00FA449B"/>
    <w:rsid w:val="00FA55AF"/>
    <w:rsid w:val="00FA661A"/>
    <w:rsid w:val="00FB1F7D"/>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05B56F-0804-4A22-AF13-55556911F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30207</Words>
  <Characters>172182</Characters>
  <Application>Microsoft Office Word</Application>
  <DocSecurity>0</DocSecurity>
  <Lines>1434</Lines>
  <Paragraphs>403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201986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11</cp:revision>
  <cp:lastPrinted>2022-01-19T07:17:00Z</cp:lastPrinted>
  <dcterms:created xsi:type="dcterms:W3CDTF">2023-04-05T07:27:00Z</dcterms:created>
  <dcterms:modified xsi:type="dcterms:W3CDTF">2023-07-13T08:33:00Z</dcterms:modified>
</cp:coreProperties>
</file>