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721EF3">
            <w:pPr>
              <w:jc w:val="both"/>
              <w:rPr>
                <w:sz w:val="24"/>
                <w:szCs w:val="24"/>
              </w:rPr>
            </w:pPr>
            <w:r w:rsidRPr="008D12BA">
              <w:rPr>
                <w:sz w:val="24"/>
                <w:szCs w:val="24"/>
              </w:rPr>
              <w:t xml:space="preserve">Project/ Tender name: </w:t>
            </w:r>
            <w:r w:rsidRPr="008D12BA">
              <w:rPr>
                <w:sz w:val="24"/>
                <w:szCs w:val="24"/>
              </w:rPr>
              <w:tab/>
            </w:r>
            <w:r w:rsidRPr="00A33D4F">
              <w:rPr>
                <w:rFonts w:ascii="Simplified Arabic" w:hAnsi="Simplified Arabic" w:cs="Simplified Arabic"/>
                <w:b/>
                <w:bCs/>
                <w:color w:val="000000"/>
                <w:sz w:val="24"/>
                <w:szCs w:val="24"/>
                <w:highlight w:val="cyan"/>
                <w:lang w:bidi="ar-LB"/>
              </w:rPr>
              <w:t xml:space="preserve">MED/  </w:t>
            </w:r>
            <w:r w:rsidR="00721EF3">
              <w:rPr>
                <w:rFonts w:ascii="Simplified Arabic" w:hAnsi="Simplified Arabic" w:cs="Simplified Arabic"/>
                <w:b/>
                <w:bCs/>
                <w:color w:val="000000"/>
                <w:sz w:val="24"/>
                <w:szCs w:val="24"/>
                <w:highlight w:val="cyan"/>
                <w:lang w:bidi="ar-LB"/>
              </w:rPr>
              <w:t>16</w:t>
            </w:r>
            <w:r w:rsidRPr="00A33D4F">
              <w:rPr>
                <w:rFonts w:ascii="Simplified Arabic" w:hAnsi="Simplified Arabic" w:cs="Simplified Arabic"/>
                <w:b/>
                <w:bCs/>
                <w:color w:val="000000"/>
                <w:sz w:val="24"/>
                <w:szCs w:val="24"/>
                <w:highlight w:val="cyan"/>
                <w:lang w:bidi="ar-LB"/>
              </w:rPr>
              <w:t xml:space="preserve"> /202</w:t>
            </w:r>
            <w:r w:rsidR="00126F30" w:rsidRPr="00A33D4F">
              <w:rPr>
                <w:rFonts w:ascii="Simplified Arabic" w:hAnsi="Simplified Arabic" w:cs="Simplified Arabic"/>
                <w:b/>
                <w:bCs/>
                <w:color w:val="000000"/>
                <w:sz w:val="24"/>
                <w:szCs w:val="24"/>
                <w:lang w:bidi="ar-LB"/>
              </w:rPr>
              <w:t>3</w:t>
            </w:r>
            <w:r w:rsidR="0008580C">
              <w:rPr>
                <w:rFonts w:ascii="Simplified Arabic" w:hAnsi="Simplified Arabic" w:cs="Simplified Arabic"/>
                <w:b/>
                <w:bCs/>
                <w:color w:val="000000"/>
                <w:sz w:val="24"/>
                <w:szCs w:val="24"/>
                <w:lang w:bidi="ar-LB"/>
              </w:rPr>
              <w:t>A</w:t>
            </w:r>
            <w:r w:rsidR="00A33D4F" w:rsidRPr="00A33D4F">
              <w:rPr>
                <w:b/>
                <w:bCs/>
                <w:sz w:val="24"/>
                <w:szCs w:val="24"/>
              </w:rPr>
              <w:t xml:space="preserve"> </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08580C">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issued in date( day</w:t>
            </w:r>
            <w:r w:rsidRPr="008D12BA">
              <w:rPr>
                <w:rFonts w:ascii="Arial" w:hAnsi="Arial"/>
                <w:sz w:val="24"/>
                <w:szCs w:val="24"/>
                <w:highlight w:val="cyan"/>
              </w:rPr>
              <w:t xml:space="preserve">)…      </w:t>
            </w:r>
            <w:r w:rsidR="0008580C">
              <w:rPr>
                <w:rFonts w:ascii="Arial" w:hAnsi="Arial"/>
                <w:sz w:val="24"/>
                <w:szCs w:val="24"/>
                <w:highlight w:val="cyan"/>
              </w:rPr>
              <w:t>15</w:t>
            </w:r>
            <w:r w:rsidRPr="008D12BA">
              <w:rPr>
                <w:rFonts w:ascii="Arial" w:hAnsi="Arial"/>
                <w:sz w:val="24"/>
                <w:szCs w:val="24"/>
                <w:highlight w:val="cyan"/>
              </w:rPr>
              <w:t xml:space="preserve"> /</w:t>
            </w:r>
            <w:r w:rsidR="0008580C">
              <w:rPr>
                <w:rFonts w:ascii="Arial" w:hAnsi="Arial"/>
                <w:sz w:val="24"/>
                <w:szCs w:val="24"/>
                <w:highlight w:val="cyan"/>
              </w:rPr>
              <w:t>10</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721EF3">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721EF3">
              <w:rPr>
                <w:rFonts w:ascii="Arial" w:hAnsi="Arial"/>
                <w:spacing w:val="-2"/>
                <w:sz w:val="24"/>
                <w:szCs w:val="24"/>
                <w:highlight w:val="cyan"/>
              </w:rPr>
              <w:t>16</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126F30" w:rsidRPr="00A33D4F">
              <w:rPr>
                <w:rFonts w:ascii="Arial" w:hAnsi="Arial"/>
                <w:spacing w:val="-2"/>
                <w:sz w:val="24"/>
                <w:szCs w:val="24"/>
                <w:highlight w:val="cyan"/>
              </w:rPr>
              <w:t>3</w:t>
            </w:r>
            <w:r w:rsidR="0008580C">
              <w:rPr>
                <w:rFonts w:ascii="Arial" w:hAnsi="Arial"/>
                <w:spacing w:val="-2"/>
                <w:sz w:val="24"/>
                <w:szCs w:val="24"/>
                <w:highlight w:val="cyan"/>
              </w:rPr>
              <w:t>A</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 xml:space="preserve">Drug Information &amp; the Public RelationsDepartment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&amp;Kimadia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factoriesgoods . </w:t>
            </w:r>
            <w:r w:rsidR="00672659" w:rsidRPr="008D12BA">
              <w:rPr>
                <w:rFonts w:ascii="Arial" w:hAnsi="Arial" w:cs="Arial"/>
                <w:color w:val="auto"/>
                <w:highlight w:val="yellow"/>
              </w:rPr>
              <w:t>Additional details shall be specified in the Bidding Documents (see the clause(30) priority national from theInstructions To Bidders&amp; clause (30) from Bid informations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08580C">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08580C">
              <w:rPr>
                <w:sz w:val="24"/>
                <w:szCs w:val="24"/>
                <w:highlight w:val="cyan"/>
              </w:rPr>
              <w:t>15</w:t>
            </w:r>
            <w:r w:rsidRPr="008D12BA">
              <w:rPr>
                <w:sz w:val="24"/>
                <w:szCs w:val="24"/>
                <w:highlight w:val="cyan"/>
              </w:rPr>
              <w:t xml:space="preserve">/ </w:t>
            </w:r>
            <w:r w:rsidR="0008580C">
              <w:rPr>
                <w:sz w:val="24"/>
                <w:szCs w:val="24"/>
                <w:highlight w:val="cyan"/>
              </w:rPr>
              <w:t>10</w:t>
            </w:r>
            <w:r w:rsidRPr="008D12BA">
              <w:rPr>
                <w:sz w:val="24"/>
                <w:szCs w:val="24"/>
                <w:highlight w:val="cyan"/>
              </w:rPr>
              <w:t xml:space="preserve">  /202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08580C">
              <w:rPr>
                <w:sz w:val="24"/>
                <w:szCs w:val="24"/>
                <w:highlight w:val="cyan"/>
              </w:rPr>
              <w:t>22</w:t>
            </w:r>
            <w:r w:rsidRPr="008D12BA">
              <w:rPr>
                <w:sz w:val="24"/>
                <w:szCs w:val="24"/>
                <w:highlight w:val="cyan"/>
              </w:rPr>
              <w:t xml:space="preserve"> /     </w:t>
            </w:r>
            <w:r w:rsidR="0008580C">
              <w:rPr>
                <w:sz w:val="24"/>
                <w:szCs w:val="24"/>
                <w:highlight w:val="cyan"/>
              </w:rPr>
              <w:t>10</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08580C">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08580C">
              <w:rPr>
                <w:rFonts w:ascii="Arial" w:hAnsi="Arial"/>
                <w:sz w:val="24"/>
                <w:szCs w:val="24"/>
                <w:highlight w:val="cyan"/>
              </w:rPr>
              <w:t>29</w:t>
            </w:r>
            <w:r w:rsidRPr="008D12BA">
              <w:rPr>
                <w:rFonts w:ascii="Arial" w:hAnsi="Arial"/>
                <w:sz w:val="24"/>
                <w:szCs w:val="24"/>
                <w:highlight w:val="cyan"/>
              </w:rPr>
              <w:t xml:space="preserve"> / </w:t>
            </w:r>
            <w:r w:rsidR="0008580C">
              <w:rPr>
                <w:rFonts w:ascii="Arial" w:hAnsi="Arial"/>
                <w:sz w:val="24"/>
                <w:szCs w:val="24"/>
                <w:highlight w:val="cyan"/>
              </w:rPr>
              <w:t>10</w:t>
            </w:r>
            <w:r w:rsidRPr="008D12BA">
              <w:rPr>
                <w:rFonts w:ascii="Arial" w:hAnsi="Arial"/>
                <w:sz w:val="24"/>
                <w:szCs w:val="24"/>
                <w:highlight w:val="cyan"/>
              </w:rPr>
              <w:t xml:space="preserve">  /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The date of opening the tender will be the day after closing date in Kimadia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or legalize check or svtjh&amp;</w:t>
            </w:r>
            <w:r w:rsidRPr="008D12BA">
              <w:rPr>
                <w:rFonts w:ascii="inherit" w:eastAsia="Times New Roman" w:hAnsi="inherit" w:cs="Courier New"/>
                <w:color w:val="202124"/>
                <w:sz w:val="24"/>
                <w:szCs w:val="24"/>
                <w:highlight w:val="yellow"/>
              </w:rPr>
              <w:t>of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b-Bid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e-the submitting of bond should attachedwith litter of legalized issuing (private&amp;secret)sendtoMinistry of Health / The State Company For Marketing Drug Medical Appliances (kimadia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The</w:t>
            </w:r>
            <w:r w:rsidRPr="008D12BA">
              <w:rPr>
                <w:rFonts w:ascii="Arial" w:hAnsi="Arial"/>
                <w:sz w:val="24"/>
                <w:szCs w:val="24"/>
                <w:highlight w:val="yellow"/>
              </w:rPr>
              <w:t>Ministry of Health / The State Company For Marketing Drug Medical Appliances (kimadia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ayout w:type="fixed"/>
        <w:tblLook w:val="04A0" w:firstRow="1" w:lastRow="0" w:firstColumn="1" w:lastColumn="0" w:noHBand="0" w:noVBand="1"/>
      </w:tblPr>
      <w:tblGrid>
        <w:gridCol w:w="704"/>
        <w:gridCol w:w="1415"/>
        <w:gridCol w:w="3410"/>
        <w:gridCol w:w="817"/>
        <w:gridCol w:w="2585"/>
        <w:gridCol w:w="992"/>
        <w:gridCol w:w="1017"/>
        <w:gridCol w:w="1267"/>
        <w:gridCol w:w="1127"/>
        <w:gridCol w:w="1267"/>
      </w:tblGrid>
      <w:tr w:rsidR="00704953" w:rsidTr="00431932">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721EF3">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721EF3">
              <w:rPr>
                <w:rFonts w:ascii="Arial" w:eastAsia="Times New Roman" w:hAnsi="Arial"/>
                <w:b/>
                <w:bCs/>
                <w:sz w:val="24"/>
                <w:szCs w:val="24"/>
                <w:u w:val="single"/>
              </w:rPr>
              <w:t>16</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08580C">
              <w:rPr>
                <w:rFonts w:ascii="Arial" w:eastAsia="Times New Roman" w:hAnsi="Arial"/>
                <w:b/>
                <w:bCs/>
                <w:sz w:val="24"/>
                <w:szCs w:val="24"/>
                <w:u w:val="single"/>
              </w:rPr>
              <w:t>A</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431932">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431932">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431932">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704953" w:rsidTr="00431932">
        <w:tc>
          <w:tcPr>
            <w:tcW w:w="14601" w:type="dxa"/>
            <w:gridSpan w:val="10"/>
          </w:tcPr>
          <w:p w:rsidR="00704953" w:rsidRPr="00120DE8" w:rsidRDefault="00704953" w:rsidP="00DB569E">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431932">
        <w:trPr>
          <w:trHeight w:val="900"/>
        </w:trPr>
        <w:tc>
          <w:tcPr>
            <w:tcW w:w="704"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415"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national_c</w:t>
            </w:r>
          </w:p>
        </w:tc>
        <w:tc>
          <w:tcPr>
            <w:tcW w:w="3410"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817" w:type="dxa"/>
            <w:hideMark/>
          </w:tcPr>
          <w:p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TOTAL202</w:t>
            </w:r>
            <w:r>
              <w:rPr>
                <w:rFonts w:eastAsia="Times New Roman" w:cs="Calibri"/>
                <w:b/>
                <w:bCs/>
                <w:color w:val="000000"/>
              </w:rPr>
              <w:t>4</w:t>
            </w:r>
          </w:p>
        </w:tc>
        <w:tc>
          <w:tcPr>
            <w:tcW w:w="2585"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992"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01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12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8A0C02" w:rsidRPr="00844D38" w:rsidTr="00431932">
        <w:trPr>
          <w:trHeight w:val="495"/>
        </w:trPr>
        <w:tc>
          <w:tcPr>
            <w:tcW w:w="704" w:type="dxa"/>
            <w:vAlign w:val="center"/>
          </w:tcPr>
          <w:p w:rsidR="008A0C02" w:rsidRDefault="008A0C02">
            <w:pPr>
              <w:jc w:val="center"/>
              <w:rPr>
                <w:rFonts w:ascii="Arial" w:hAnsi="Arial" w:cs="Arial"/>
                <w:b/>
                <w:bCs/>
              </w:rPr>
            </w:pPr>
            <w:r>
              <w:rPr>
                <w:rFonts w:ascii="Arial" w:hAnsi="Arial" w:cs="Arial"/>
                <w:b/>
                <w:bCs/>
              </w:rPr>
              <w:t>1</w:t>
            </w:r>
          </w:p>
        </w:tc>
        <w:tc>
          <w:tcPr>
            <w:tcW w:w="1415" w:type="dxa"/>
            <w:vAlign w:val="center"/>
          </w:tcPr>
          <w:p w:rsidR="008A0C02" w:rsidRDefault="008A0C02">
            <w:pPr>
              <w:jc w:val="center"/>
              <w:rPr>
                <w:rFonts w:ascii="Arial" w:hAnsi="Arial" w:cs="Arial"/>
                <w:b/>
                <w:bCs/>
              </w:rPr>
            </w:pPr>
            <w:r>
              <w:rPr>
                <w:rFonts w:ascii="Arial" w:hAnsi="Arial" w:cs="Arial"/>
                <w:b/>
                <w:bCs/>
              </w:rPr>
              <w:t>15-AF0-080</w:t>
            </w:r>
          </w:p>
        </w:tc>
        <w:tc>
          <w:tcPr>
            <w:tcW w:w="3410" w:type="dxa"/>
            <w:vAlign w:val="center"/>
          </w:tcPr>
          <w:p w:rsidR="008A0C02" w:rsidRDefault="008A0C02">
            <w:pPr>
              <w:jc w:val="center"/>
              <w:rPr>
                <w:b/>
                <w:bCs/>
                <w:sz w:val="18"/>
                <w:szCs w:val="18"/>
              </w:rPr>
            </w:pPr>
            <w:r>
              <w:rPr>
                <w:b/>
                <w:bCs/>
                <w:sz w:val="18"/>
                <w:szCs w:val="18"/>
              </w:rPr>
              <w:t xml:space="preserve">Daratumumab 400mg/20ml  vials concentrate for solution for infusion  </w:t>
            </w:r>
            <w:r>
              <w:rPr>
                <w:b/>
                <w:bCs/>
                <w:sz w:val="18"/>
                <w:szCs w:val="18"/>
                <w:rtl/>
              </w:rPr>
              <w:t xml:space="preserve">تلتزم الشركة بتجهيز احتياج ال 100مريض من مادة </w:t>
            </w:r>
            <w:r>
              <w:rPr>
                <w:b/>
                <w:bCs/>
                <w:sz w:val="18"/>
                <w:szCs w:val="18"/>
              </w:rPr>
              <w:br/>
              <w:t xml:space="preserve">bortozomib vial. </w:t>
            </w:r>
            <w:r>
              <w:rPr>
                <w:b/>
                <w:bCs/>
                <w:sz w:val="18"/>
                <w:szCs w:val="18"/>
                <w:rtl/>
              </w:rPr>
              <w:t>مجانا</w:t>
            </w:r>
            <w:r>
              <w:rPr>
                <w:b/>
                <w:bCs/>
                <w:sz w:val="18"/>
                <w:szCs w:val="18"/>
              </w:rPr>
              <w:br/>
            </w:r>
            <w:r>
              <w:rPr>
                <w:b/>
                <w:bCs/>
                <w:sz w:val="18"/>
                <w:szCs w:val="18"/>
              </w:rPr>
              <w:br/>
              <w:t xml:space="preserve"> </w:t>
            </w:r>
            <w:r>
              <w:rPr>
                <w:b/>
                <w:bCs/>
                <w:sz w:val="18"/>
                <w:szCs w:val="18"/>
                <w:rtl/>
              </w:rPr>
              <w:t xml:space="preserve">الزام الشركات الموردة للادوية البايولوجية بتجهيز الوزارة بالاجهزة التالية </w:t>
            </w:r>
            <w:r>
              <w:rPr>
                <w:b/>
                <w:bCs/>
                <w:sz w:val="18"/>
                <w:szCs w:val="18"/>
              </w:rPr>
              <w:br/>
              <w:t xml:space="preserve">1- serum protein electrophoresis and immunofixation </w:t>
            </w:r>
            <w:r>
              <w:rPr>
                <w:b/>
                <w:bCs/>
                <w:sz w:val="18"/>
                <w:szCs w:val="18"/>
              </w:rPr>
              <w:br/>
              <w:t>2- serum free light chain</w:t>
            </w:r>
            <w:r>
              <w:rPr>
                <w:b/>
                <w:bCs/>
                <w:sz w:val="18"/>
                <w:szCs w:val="18"/>
              </w:rPr>
              <w:br/>
            </w:r>
            <w:r>
              <w:rPr>
                <w:b/>
                <w:bCs/>
                <w:sz w:val="18"/>
                <w:szCs w:val="18"/>
                <w:rtl/>
              </w:rPr>
              <w:t>ويكون العدد خمسة اجهزة لسنة واحدة ( ثلاثة اجهزة من قبل الشركة المنتجة لمادة</w:t>
            </w:r>
            <w:r>
              <w:rPr>
                <w:b/>
                <w:bCs/>
                <w:sz w:val="18"/>
                <w:szCs w:val="18"/>
              </w:rPr>
              <w:t xml:space="preserve">  daratumumab </w:t>
            </w:r>
            <w:r>
              <w:rPr>
                <w:b/>
                <w:bCs/>
                <w:sz w:val="18"/>
                <w:szCs w:val="18"/>
                <w:rtl/>
              </w:rPr>
              <w:t>وجهازين من قبل الشركة المنتجة لمادة</w:t>
            </w:r>
            <w:r>
              <w:rPr>
                <w:b/>
                <w:bCs/>
                <w:sz w:val="18"/>
                <w:szCs w:val="18"/>
              </w:rPr>
              <w:t xml:space="preserve">  isatuximab ) </w:t>
            </w:r>
            <w:r>
              <w:rPr>
                <w:b/>
                <w:bCs/>
                <w:sz w:val="18"/>
                <w:szCs w:val="18"/>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r>
              <w:rPr>
                <w:b/>
                <w:bCs/>
                <w:sz w:val="18"/>
                <w:szCs w:val="18"/>
              </w:rPr>
              <w:t xml:space="preserve">                                                                                                                   </w:t>
            </w:r>
            <w:r>
              <w:rPr>
                <w:b/>
                <w:bCs/>
                <w:sz w:val="18"/>
                <w:szCs w:val="18"/>
                <w:rtl/>
              </w:rPr>
              <w:t>مواد الفحص المطلوبة مع الاجهزة المطلوبة</w:t>
            </w:r>
            <w:r>
              <w:rPr>
                <w:b/>
                <w:bCs/>
                <w:sz w:val="18"/>
                <w:szCs w:val="18"/>
              </w:rPr>
              <w:t xml:space="preserve">                                              serum protein electrophoresis kit    3kit                                   serum protein immunofixation kit     5kit                                  urine protein immunofixation kit       2kit                                   1177</w:t>
            </w:r>
            <w:r>
              <w:rPr>
                <w:b/>
                <w:bCs/>
                <w:sz w:val="18"/>
                <w:szCs w:val="18"/>
              </w:rPr>
              <w:br/>
            </w:r>
            <w:r>
              <w:rPr>
                <w:b/>
                <w:bCs/>
                <w:sz w:val="18"/>
                <w:szCs w:val="18"/>
                <w:rtl/>
              </w:rPr>
              <w:t>ج/1131</w:t>
            </w:r>
            <w:r>
              <w:rPr>
                <w:b/>
                <w:bCs/>
                <w:sz w:val="18"/>
                <w:szCs w:val="18"/>
              </w:rPr>
              <w:t xml:space="preserve">                      1121</w:t>
            </w:r>
            <w:r>
              <w:rPr>
                <w:b/>
                <w:bCs/>
                <w:sz w:val="18"/>
                <w:szCs w:val="18"/>
              </w:rPr>
              <w:br/>
              <w:t>1173</w:t>
            </w:r>
            <w:r>
              <w:rPr>
                <w:b/>
                <w:bCs/>
                <w:sz w:val="18"/>
                <w:szCs w:val="18"/>
              </w:rPr>
              <w:br/>
              <w:t>1191</w:t>
            </w:r>
            <w:r>
              <w:rPr>
                <w:b/>
                <w:bCs/>
                <w:sz w:val="18"/>
                <w:szCs w:val="18"/>
              </w:rPr>
              <w:br/>
            </w:r>
            <w:r>
              <w:rPr>
                <w:b/>
                <w:bCs/>
                <w:sz w:val="18"/>
                <w:szCs w:val="18"/>
                <w:rtl/>
              </w:rPr>
              <w:t>كخط علاجي اول وفق البروتكول</w:t>
            </w:r>
            <w:r>
              <w:rPr>
                <w:b/>
                <w:bCs/>
                <w:sz w:val="18"/>
                <w:szCs w:val="18"/>
              </w:rPr>
              <w:t xml:space="preserve"> DRD </w:t>
            </w:r>
            <w:r>
              <w:rPr>
                <w:b/>
                <w:bCs/>
                <w:sz w:val="18"/>
                <w:szCs w:val="18"/>
                <w:rtl/>
              </w:rPr>
              <w:t>او</w:t>
            </w:r>
            <w:r>
              <w:rPr>
                <w:b/>
                <w:bCs/>
                <w:sz w:val="18"/>
                <w:szCs w:val="18"/>
              </w:rPr>
              <w:t xml:space="preserve"> DVRD </w:t>
            </w:r>
            <w:r>
              <w:rPr>
                <w:b/>
                <w:bCs/>
                <w:sz w:val="18"/>
                <w:szCs w:val="18"/>
                <w:rtl/>
              </w:rPr>
              <w:t>او</w:t>
            </w:r>
            <w:r>
              <w:rPr>
                <w:b/>
                <w:bCs/>
                <w:sz w:val="18"/>
                <w:szCs w:val="18"/>
              </w:rPr>
              <w:t xml:space="preserve">DVCD </w:t>
            </w:r>
            <w:r>
              <w:rPr>
                <w:b/>
                <w:bCs/>
                <w:sz w:val="18"/>
                <w:szCs w:val="18"/>
                <w:rtl/>
              </w:rPr>
              <w:t>،ويحدد صرفه لعلاج ١٠٠ مريض من الذين اعمارهم ٦٥-٧٥ والتي لايمكن اجراء زرع النخاع الذاتي</w:t>
            </w:r>
            <w:r>
              <w:rPr>
                <w:b/>
                <w:bCs/>
                <w:sz w:val="18"/>
                <w:szCs w:val="18"/>
              </w:rPr>
              <w:br/>
            </w:r>
            <w:r>
              <w:rPr>
                <w:b/>
                <w:bCs/>
                <w:sz w:val="18"/>
                <w:szCs w:val="18"/>
                <w:rtl/>
              </w:rPr>
              <w:t>وكخط ثاني ل 120مريض لاكمال علاج السنة الاولى من المرضى الذين استلموه كخط اول</w:t>
            </w:r>
            <w:r>
              <w:rPr>
                <w:b/>
                <w:bCs/>
                <w:sz w:val="18"/>
                <w:szCs w:val="18"/>
              </w:rPr>
              <w:br/>
            </w:r>
            <w:r>
              <w:rPr>
                <w:b/>
                <w:bCs/>
                <w:sz w:val="18"/>
                <w:szCs w:val="18"/>
                <w:rtl/>
              </w:rPr>
              <w:t>تتولى اللجنة الاستشارية وبالتنسيق مع تقدير الحاجة ومجلس السرطان وضع خطة لتوزيع</w:t>
            </w:r>
            <w:r>
              <w:rPr>
                <w:b/>
                <w:bCs/>
                <w:sz w:val="18"/>
                <w:szCs w:val="18"/>
              </w:rPr>
              <w:t xml:space="preserve">                                                                                                  </w:t>
            </w:r>
          </w:p>
        </w:tc>
        <w:tc>
          <w:tcPr>
            <w:tcW w:w="817" w:type="dxa"/>
            <w:vAlign w:val="center"/>
          </w:tcPr>
          <w:p w:rsidR="008A0C02" w:rsidRDefault="008A0C02">
            <w:pPr>
              <w:jc w:val="center"/>
              <w:rPr>
                <w:rFonts w:ascii="Calibri" w:hAnsi="Calibri" w:cs="Arial"/>
                <w:b/>
                <w:bCs/>
              </w:rPr>
            </w:pPr>
            <w:r>
              <w:rPr>
                <w:rFonts w:ascii="Calibri" w:hAnsi="Calibri" w:cs="Arial"/>
                <w:b/>
                <w:bCs/>
              </w:rPr>
              <w:t>11440</w:t>
            </w:r>
          </w:p>
        </w:tc>
        <w:tc>
          <w:tcPr>
            <w:tcW w:w="2585" w:type="dxa"/>
            <w:vAlign w:val="center"/>
          </w:tcPr>
          <w:p w:rsidR="008A0C02" w:rsidRDefault="008A0C02">
            <w:pPr>
              <w:jc w:val="center"/>
              <w:rPr>
                <w:rFonts w:ascii="Calibri" w:hAnsi="Calibri" w:cs="Arial"/>
                <w:b/>
                <w:bCs/>
              </w:rPr>
            </w:pPr>
            <w:r>
              <w:rPr>
                <w:rFonts w:ascii="Calibri" w:hAnsi="Calibri" w:cs="Arial"/>
                <w:b/>
                <w:bCs/>
              </w:rPr>
              <w:t> </w:t>
            </w:r>
          </w:p>
        </w:tc>
        <w:tc>
          <w:tcPr>
            <w:tcW w:w="992" w:type="dxa"/>
            <w:vAlign w:val="center"/>
          </w:tcPr>
          <w:p w:rsidR="008A0C02" w:rsidRDefault="008A0C02">
            <w:pPr>
              <w:jc w:val="center"/>
              <w:rPr>
                <w:rFonts w:ascii="Arial" w:hAnsi="Arial" w:cs="Arial"/>
                <w:b/>
                <w:bCs/>
                <w:color w:val="000000"/>
              </w:rPr>
            </w:pPr>
            <w:r>
              <w:rPr>
                <w:rFonts w:ascii="Arial" w:hAnsi="Arial" w:cs="Arial"/>
                <w:b/>
                <w:bCs/>
                <w:color w:val="000000"/>
              </w:rPr>
              <w:t>1 vial</w:t>
            </w:r>
          </w:p>
        </w:tc>
        <w:tc>
          <w:tcPr>
            <w:tcW w:w="1017" w:type="dxa"/>
            <w:vAlign w:val="center"/>
          </w:tcPr>
          <w:p w:rsidR="008A0C02" w:rsidRDefault="008A0C02">
            <w:pPr>
              <w:jc w:val="center"/>
              <w:rPr>
                <w:rFonts w:ascii="Arial" w:hAnsi="Arial" w:cs="Arial"/>
                <w:b/>
                <w:bCs/>
                <w:color w:val="000000"/>
              </w:rPr>
            </w:pPr>
            <w:r>
              <w:rPr>
                <w:rFonts w:ascii="Arial" w:hAnsi="Arial" w:cs="Arial"/>
                <w:b/>
                <w:bCs/>
                <w:color w:val="000000"/>
              </w:rPr>
              <w:t>1200</w:t>
            </w:r>
          </w:p>
        </w:tc>
        <w:tc>
          <w:tcPr>
            <w:tcW w:w="1267" w:type="dxa"/>
            <w:vAlign w:val="center"/>
          </w:tcPr>
          <w:p w:rsidR="008A0C02" w:rsidRDefault="008A0C02">
            <w:pPr>
              <w:jc w:val="center"/>
              <w:rPr>
                <w:rFonts w:ascii="Arial" w:hAnsi="Arial" w:cs="Arial"/>
                <w:b/>
                <w:bCs/>
                <w:color w:val="000000"/>
              </w:rPr>
            </w:pPr>
            <w:r>
              <w:rPr>
                <w:rFonts w:ascii="Arial" w:hAnsi="Arial" w:cs="Arial"/>
                <w:b/>
                <w:bCs/>
                <w:color w:val="000000"/>
              </w:rPr>
              <w:t>840</w:t>
            </w:r>
          </w:p>
        </w:tc>
        <w:tc>
          <w:tcPr>
            <w:tcW w:w="1127" w:type="dxa"/>
            <w:vAlign w:val="center"/>
          </w:tcPr>
          <w:p w:rsidR="008A0C02" w:rsidRDefault="008A0C02">
            <w:pPr>
              <w:jc w:val="center"/>
              <w:rPr>
                <w:rFonts w:ascii="Arial" w:hAnsi="Arial" w:cs="Arial"/>
                <w:b/>
                <w:bCs/>
                <w:color w:val="000000"/>
              </w:rPr>
            </w:pPr>
            <w:r>
              <w:rPr>
                <w:rFonts w:ascii="Arial" w:hAnsi="Arial" w:cs="Arial"/>
                <w:b/>
                <w:bCs/>
                <w:color w:val="000000"/>
              </w:rPr>
              <w:t>540</w:t>
            </w:r>
          </w:p>
        </w:tc>
        <w:tc>
          <w:tcPr>
            <w:tcW w:w="1267" w:type="dxa"/>
            <w:vAlign w:val="center"/>
          </w:tcPr>
          <w:p w:rsidR="008A0C02" w:rsidRDefault="008A0C02">
            <w:pPr>
              <w:jc w:val="center"/>
              <w:rPr>
                <w:rFonts w:ascii="Arial" w:hAnsi="Arial" w:cs="Arial"/>
                <w:b/>
                <w:bCs/>
                <w:color w:val="000000"/>
              </w:rPr>
            </w:pPr>
            <w:r>
              <w:rPr>
                <w:rFonts w:ascii="Arial" w:hAnsi="Arial" w:cs="Arial"/>
                <w:b/>
                <w:bCs/>
                <w:color w:val="000000"/>
              </w:rPr>
              <w:t>300</w:t>
            </w:r>
          </w:p>
        </w:tc>
      </w:tr>
      <w:tr w:rsidR="008A0C02" w:rsidRPr="00844D38" w:rsidTr="00D92AC0">
        <w:trPr>
          <w:trHeight w:val="3149"/>
        </w:trPr>
        <w:tc>
          <w:tcPr>
            <w:tcW w:w="704" w:type="dxa"/>
            <w:vAlign w:val="center"/>
          </w:tcPr>
          <w:p w:rsidR="008A0C02" w:rsidRDefault="008A0C02">
            <w:pPr>
              <w:jc w:val="center"/>
              <w:rPr>
                <w:rFonts w:ascii="Arial" w:hAnsi="Arial" w:cs="Arial"/>
                <w:b/>
                <w:bCs/>
              </w:rPr>
            </w:pPr>
            <w:r>
              <w:rPr>
                <w:rFonts w:ascii="Arial" w:hAnsi="Arial" w:cs="Arial"/>
                <w:b/>
                <w:bCs/>
              </w:rPr>
              <w:lastRenderedPageBreak/>
              <w:t>2</w:t>
            </w:r>
          </w:p>
        </w:tc>
        <w:tc>
          <w:tcPr>
            <w:tcW w:w="1415" w:type="dxa"/>
            <w:vAlign w:val="center"/>
          </w:tcPr>
          <w:p w:rsidR="008A0C02" w:rsidRDefault="008A0C02">
            <w:pPr>
              <w:jc w:val="center"/>
              <w:rPr>
                <w:rFonts w:ascii="Arial" w:hAnsi="Arial" w:cs="Arial"/>
                <w:b/>
                <w:bCs/>
              </w:rPr>
            </w:pPr>
            <w:r>
              <w:rPr>
                <w:rFonts w:ascii="Arial" w:hAnsi="Arial" w:cs="Arial"/>
                <w:b/>
                <w:bCs/>
              </w:rPr>
              <w:t>15-AF0-112</w:t>
            </w:r>
          </w:p>
        </w:tc>
        <w:tc>
          <w:tcPr>
            <w:tcW w:w="3410" w:type="dxa"/>
          </w:tcPr>
          <w:p w:rsidR="008A0C02" w:rsidRDefault="008A0C02">
            <w:pPr>
              <w:rPr>
                <w:rFonts w:ascii="Arial" w:hAnsi="Arial" w:cs="Arial"/>
              </w:rPr>
            </w:pPr>
            <w:r>
              <w:rPr>
                <w:rFonts w:ascii="Arial" w:hAnsi="Arial" w:cs="Arial"/>
              </w:rPr>
              <w:t xml:space="preserve"> Isatuximab 20 mg per 1 ml Sarclisa 500mg/25ml concentrate for solution for infusion</w:t>
            </w:r>
            <w:r>
              <w:rPr>
                <w:rFonts w:ascii="Arial" w:hAnsi="Arial" w:cs="Arial"/>
              </w:rPr>
              <w:br w:type="page"/>
            </w:r>
            <w:r>
              <w:rPr>
                <w:rFonts w:ascii="Arial" w:hAnsi="Arial" w:cs="Arial"/>
                <w:rtl/>
              </w:rPr>
              <w:t xml:space="preserve">الزام الشركات الموردة للادوية البايولوجية بتجهيز الوزارة بالاجهزة التالية </w:t>
            </w:r>
            <w:r>
              <w:rPr>
                <w:rFonts w:ascii="Arial" w:hAnsi="Arial" w:cs="Arial"/>
              </w:rPr>
              <w:br w:type="page"/>
              <w:t xml:space="preserve">1- serum protein electrophoresis and immunofixation </w:t>
            </w:r>
            <w:r>
              <w:rPr>
                <w:rFonts w:ascii="Arial" w:hAnsi="Arial" w:cs="Arial"/>
              </w:rPr>
              <w:br w:type="page"/>
              <w:t>2- serum free light chain</w:t>
            </w:r>
            <w:r>
              <w:rPr>
                <w:rFonts w:ascii="Arial" w:hAnsi="Arial" w:cs="Arial"/>
              </w:rPr>
              <w:br w:type="page"/>
            </w:r>
            <w:r>
              <w:rPr>
                <w:rFonts w:ascii="Arial" w:hAnsi="Arial" w:cs="Arial"/>
                <w:rtl/>
              </w:rPr>
              <w:t>ويكون العدد خمسة اجهزة لسنة واحدة ( ثلاثة اجهزة من قبل الشركة المنتجة لمادة</w:t>
            </w:r>
            <w:r>
              <w:rPr>
                <w:rFonts w:ascii="Arial" w:hAnsi="Arial" w:cs="Arial"/>
              </w:rPr>
              <w:t xml:space="preserve">  daratumumab </w:t>
            </w:r>
            <w:r>
              <w:rPr>
                <w:rFonts w:ascii="Arial" w:hAnsi="Arial" w:cs="Arial"/>
                <w:rtl/>
              </w:rPr>
              <w:t>وجهازين من قبل الشركة المنتجة لمادة</w:t>
            </w:r>
            <w:r>
              <w:rPr>
                <w:rFonts w:ascii="Arial" w:hAnsi="Arial" w:cs="Arial"/>
              </w:rPr>
              <w:t xml:space="preserve">  isatuximab ) </w:t>
            </w:r>
            <w:r>
              <w:rPr>
                <w:rFonts w:ascii="Arial" w:hAnsi="Arial" w:cs="Arial"/>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r>
              <w:rPr>
                <w:rFonts w:ascii="Arial" w:hAnsi="Arial" w:cs="Arial"/>
              </w:rPr>
              <w:br w:type="page"/>
              <w:t xml:space="preserve">                                         </w:t>
            </w:r>
            <w:r>
              <w:rPr>
                <w:rFonts w:ascii="Arial" w:hAnsi="Arial" w:cs="Arial"/>
              </w:rPr>
              <w:br w:type="page"/>
            </w:r>
          </w:p>
        </w:tc>
        <w:tc>
          <w:tcPr>
            <w:tcW w:w="817" w:type="dxa"/>
            <w:vAlign w:val="center"/>
          </w:tcPr>
          <w:p w:rsidR="008A0C02" w:rsidRDefault="008A0C02">
            <w:pPr>
              <w:jc w:val="center"/>
              <w:rPr>
                <w:rFonts w:ascii="Arial" w:hAnsi="Arial" w:cs="Arial"/>
                <w:b/>
                <w:bCs/>
              </w:rPr>
            </w:pPr>
            <w:r>
              <w:rPr>
                <w:rFonts w:ascii="Arial" w:hAnsi="Arial" w:cs="Arial"/>
                <w:b/>
                <w:bCs/>
              </w:rPr>
              <w:t>4000</w:t>
            </w:r>
          </w:p>
        </w:tc>
        <w:tc>
          <w:tcPr>
            <w:tcW w:w="2585" w:type="dxa"/>
            <w:vAlign w:val="center"/>
          </w:tcPr>
          <w:p w:rsidR="008A0C02" w:rsidRDefault="008A0C02">
            <w:pPr>
              <w:bidi/>
              <w:jc w:val="center"/>
              <w:rPr>
                <w:rFonts w:ascii="Arial" w:hAnsi="Arial" w:cs="Arial"/>
                <w:b/>
                <w:bCs/>
              </w:rPr>
            </w:pPr>
            <w:r>
              <w:rPr>
                <w:rFonts w:ascii="Arial" w:hAnsi="Arial" w:cs="Arial"/>
                <w:b/>
                <w:bCs/>
                <w:rtl/>
              </w:rPr>
              <w:t>1173</w:t>
            </w:r>
            <w:r>
              <w:rPr>
                <w:rFonts w:ascii="Arial" w:hAnsi="Arial" w:cs="Arial"/>
                <w:b/>
                <w:bCs/>
                <w:rtl/>
              </w:rPr>
              <w:br w:type="page"/>
              <w:t>1177</w:t>
            </w:r>
            <w:r>
              <w:rPr>
                <w:rFonts w:ascii="Arial" w:hAnsi="Arial" w:cs="Arial"/>
                <w:b/>
                <w:bCs/>
                <w:rtl/>
              </w:rPr>
              <w:br w:type="page"/>
              <w:t>1191</w:t>
            </w:r>
            <w:r>
              <w:rPr>
                <w:rFonts w:ascii="Arial" w:hAnsi="Arial" w:cs="Arial"/>
                <w:b/>
                <w:bCs/>
                <w:rtl/>
              </w:rPr>
              <w:br w:type="page"/>
              <w:t>لعلاج 100 مريض كخط ثاني</w:t>
            </w:r>
            <w:r>
              <w:rPr>
                <w:rFonts w:ascii="Arial" w:hAnsi="Arial" w:cs="Arial"/>
                <w:b/>
                <w:bCs/>
                <w:rtl/>
              </w:rPr>
              <w:br w:type="page"/>
            </w:r>
            <w:r>
              <w:rPr>
                <w:rFonts w:ascii="Arial" w:hAnsi="Arial" w:cs="Arial"/>
                <w:b/>
                <w:bCs/>
                <w:rtl/>
              </w:rPr>
              <w:br w:type="page"/>
              <w:t>تتولى اللجنة الاستشارية وبالتنسيق مع تقدير الحاجة ومجلس السرطان وضع خطة لتوزيع</w:t>
            </w:r>
          </w:p>
        </w:tc>
        <w:tc>
          <w:tcPr>
            <w:tcW w:w="992" w:type="dxa"/>
            <w:vAlign w:val="center"/>
          </w:tcPr>
          <w:p w:rsidR="008A0C02" w:rsidRDefault="008A0C02">
            <w:pPr>
              <w:jc w:val="center"/>
              <w:rPr>
                <w:rFonts w:ascii="Arial" w:hAnsi="Arial" w:cs="Arial"/>
                <w:b/>
                <w:bCs/>
              </w:rPr>
            </w:pPr>
            <w:r>
              <w:rPr>
                <w:rFonts w:ascii="Arial" w:hAnsi="Arial" w:cs="Arial"/>
                <w:b/>
                <w:bCs/>
              </w:rPr>
              <w:t>1 vial (25 ml)</w:t>
            </w:r>
          </w:p>
        </w:tc>
        <w:tc>
          <w:tcPr>
            <w:tcW w:w="1017" w:type="dxa"/>
            <w:vAlign w:val="center"/>
          </w:tcPr>
          <w:p w:rsidR="008A0C02" w:rsidRDefault="008A0C02">
            <w:pPr>
              <w:jc w:val="center"/>
              <w:rPr>
                <w:rFonts w:ascii="Arial" w:hAnsi="Arial" w:cs="Arial"/>
                <w:b/>
                <w:bCs/>
              </w:rPr>
            </w:pPr>
            <w:r>
              <w:rPr>
                <w:rFonts w:ascii="Arial" w:hAnsi="Arial" w:cs="Arial"/>
                <w:b/>
                <w:bCs/>
              </w:rPr>
              <w:t>1500</w:t>
            </w:r>
          </w:p>
        </w:tc>
        <w:tc>
          <w:tcPr>
            <w:tcW w:w="1267" w:type="dxa"/>
            <w:vAlign w:val="center"/>
          </w:tcPr>
          <w:p w:rsidR="008A0C02" w:rsidRDefault="008A0C02">
            <w:pPr>
              <w:jc w:val="center"/>
              <w:rPr>
                <w:rFonts w:ascii="Arial" w:hAnsi="Arial" w:cs="Arial"/>
                <w:b/>
                <w:bCs/>
              </w:rPr>
            </w:pPr>
            <w:r>
              <w:rPr>
                <w:rFonts w:ascii="Arial" w:hAnsi="Arial" w:cs="Arial"/>
                <w:b/>
                <w:bCs/>
              </w:rPr>
              <w:t>1050</w:t>
            </w:r>
          </w:p>
        </w:tc>
        <w:tc>
          <w:tcPr>
            <w:tcW w:w="1127" w:type="dxa"/>
            <w:vAlign w:val="center"/>
          </w:tcPr>
          <w:p w:rsidR="008A0C02" w:rsidRDefault="008A0C02">
            <w:pPr>
              <w:jc w:val="center"/>
              <w:rPr>
                <w:rFonts w:ascii="Arial" w:hAnsi="Arial" w:cs="Arial"/>
                <w:b/>
                <w:bCs/>
              </w:rPr>
            </w:pPr>
            <w:r>
              <w:rPr>
                <w:rFonts w:ascii="Arial" w:hAnsi="Arial" w:cs="Arial"/>
                <w:b/>
                <w:bCs/>
              </w:rPr>
              <w:t>675</w:t>
            </w:r>
          </w:p>
        </w:tc>
        <w:tc>
          <w:tcPr>
            <w:tcW w:w="1267" w:type="dxa"/>
            <w:vAlign w:val="center"/>
          </w:tcPr>
          <w:p w:rsidR="008A0C02" w:rsidRDefault="008A0C02">
            <w:pPr>
              <w:jc w:val="center"/>
              <w:rPr>
                <w:rFonts w:ascii="Arial" w:hAnsi="Arial" w:cs="Arial"/>
                <w:b/>
                <w:bCs/>
              </w:rPr>
            </w:pPr>
            <w:r>
              <w:rPr>
                <w:rFonts w:ascii="Arial" w:hAnsi="Arial" w:cs="Arial"/>
                <w:b/>
                <w:bCs/>
              </w:rPr>
              <w:t>375</w:t>
            </w:r>
          </w:p>
        </w:tc>
      </w:tr>
    </w:tbl>
    <w:p w:rsidR="00CC3680" w:rsidRDefault="00CC3680"/>
    <w:p w:rsidR="00A33D4F" w:rsidRDefault="00A33D4F"/>
    <w:p w:rsidR="00A33D4F" w:rsidRDefault="00A33D4F"/>
    <w:p w:rsidR="00A33D4F" w:rsidRDefault="00A33D4F"/>
    <w:p w:rsidR="00A33D4F" w:rsidRDefault="00A33D4F"/>
    <w:p w:rsidR="00A33D4F" w:rsidRDefault="00A33D4F"/>
    <w:p w:rsidR="00FD561A" w:rsidRDefault="00FD561A"/>
    <w:p w:rsidR="008A0C02" w:rsidRDefault="008A0C02"/>
    <w:p w:rsidR="00A33D4F" w:rsidRDefault="00A33D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lastRenderedPageBreak/>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lastRenderedPageBreak/>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lastRenderedPageBreak/>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lastRenderedPageBreak/>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B. The</w:t>
            </w:r>
            <w:bookmarkEnd w:id="3"/>
            <w:bookmarkEnd w:id="4"/>
            <w:r w:rsidRPr="008D12BA">
              <w:rPr>
                <w:color w:val="auto"/>
                <w:sz w:val="24"/>
                <w:szCs w:val="24"/>
              </w:rPr>
              <w:t>Tender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lastRenderedPageBreak/>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abroad,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Maintenanse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ying</w:t>
            </w:r>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721EF3">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
                <w:spacing w:val="-2"/>
                <w:sz w:val="24"/>
                <w:szCs w:val="24"/>
                <w:highlight w:val="cyan"/>
              </w:rPr>
              <w:t xml:space="preserve">Med/ </w:t>
            </w:r>
            <w:r w:rsidR="00721EF3">
              <w:rPr>
                <w:rFonts w:ascii="Arial" w:hAnsi="Arial"/>
                <w:b/>
                <w:spacing w:val="-2"/>
                <w:sz w:val="24"/>
                <w:szCs w:val="24"/>
                <w:highlight w:val="cyan"/>
              </w:rPr>
              <w:t>16</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08580C">
              <w:rPr>
                <w:rFonts w:ascii="Arial" w:hAnsi="Arial"/>
                <w:b/>
                <w:spacing w:val="-2"/>
                <w:sz w:val="24"/>
                <w:szCs w:val="24"/>
                <w:highlight w:val="cyan"/>
              </w:rPr>
              <w:t>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721EF3">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721EF3">
              <w:rPr>
                <w:rFonts w:ascii="Arial" w:hAnsi="Arial"/>
                <w:bCs/>
                <w:spacing w:val="-2"/>
                <w:sz w:val="24"/>
                <w:szCs w:val="24"/>
              </w:rPr>
              <w:t>16</w:t>
            </w:r>
            <w:r w:rsidR="0008580C">
              <w:rPr>
                <w:rFonts w:ascii="Arial" w:hAnsi="Arial"/>
                <w:bCs/>
                <w:spacing w:val="-2"/>
                <w:sz w:val="24"/>
                <w:szCs w:val="24"/>
              </w:rPr>
              <w:t>A</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The number and identification of schedules (lots)comprising this  IFB  is detailed in Schedule of Requirementsare</w:t>
            </w:r>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(Kimadia)</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08580C">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w:t>
            </w:r>
            <w:r w:rsidR="0008580C">
              <w:rPr>
                <w:rFonts w:ascii="Arial" w:hAnsi="Arial"/>
                <w:b/>
                <w:sz w:val="24"/>
                <w:szCs w:val="24"/>
                <w:highlight w:val="yellow"/>
                <w:lang w:val="en-GB"/>
              </w:rPr>
              <w:t xml:space="preserve"> 22</w:t>
            </w:r>
            <w:r w:rsidRPr="004D22E1">
              <w:rPr>
                <w:rFonts w:ascii="Arial" w:hAnsi="Arial"/>
                <w:b/>
                <w:sz w:val="24"/>
                <w:szCs w:val="24"/>
                <w:highlight w:val="yellow"/>
                <w:lang w:val="en-GB"/>
              </w:rPr>
              <w:t xml:space="preserve"> /  </w:t>
            </w:r>
            <w:r w:rsidR="0008580C">
              <w:rPr>
                <w:rFonts w:ascii="Arial" w:hAnsi="Arial"/>
                <w:b/>
                <w:sz w:val="24"/>
                <w:szCs w:val="24"/>
                <w:highlight w:val="yellow"/>
                <w:lang w:val="en-GB"/>
              </w:rPr>
              <w:t>10</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A- when dealing with foreign balcklisted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The authentication of the certificate should be according to the instructions of implementing the governmental contracts No. (2) in 2014 concerning theitems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To submit a certificate of company establishment for the manufacturer and supplier companies provided that the certificate should be original ,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contracts with other countries and neighboring countries of Iraq provided that such prices should be attached to the tender supported by a confirmation ,stamp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Registration of goods is required in Iraq .</w:t>
            </w:r>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PerforemenceGuarentee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requirementsor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durgs exclusively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Kimadia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registered offers are refferred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When contracting ,the beneficiary from the documentary credit should be the same 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(drugsand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08580C">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08580C">
              <w:rPr>
                <w:rFonts w:ascii="Arial Narrow" w:eastAsia="Calibri" w:hAnsi="Arial Narrow" w:cs="Arial"/>
                <w:sz w:val="24"/>
                <w:szCs w:val="24"/>
                <w:highlight w:val="cyan"/>
              </w:rPr>
              <w:t>29</w:t>
            </w:r>
            <w:r w:rsidRPr="004D22E1">
              <w:rPr>
                <w:rFonts w:ascii="Arial Narrow" w:eastAsia="Calibri" w:hAnsi="Arial Narrow" w:cs="Arial"/>
                <w:sz w:val="24"/>
                <w:szCs w:val="24"/>
                <w:highlight w:val="cyan"/>
              </w:rPr>
              <w:t xml:space="preserve"> /  </w:t>
            </w:r>
            <w:r w:rsidR="0008580C">
              <w:rPr>
                <w:rFonts w:ascii="Arial Narrow" w:eastAsia="Calibri" w:hAnsi="Arial Narrow" w:cs="Arial"/>
                <w:sz w:val="24"/>
                <w:szCs w:val="24"/>
                <w:highlight w:val="cyan"/>
              </w:rPr>
              <w:t>10</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08580C">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( 28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08580C">
              <w:rPr>
                <w:rFonts w:ascii="Arial Narrow" w:eastAsia="Calibri" w:hAnsi="Arial Narrow" w:cs="Arial"/>
                <w:sz w:val="24"/>
                <w:szCs w:val="24"/>
                <w:highlight w:val="cyan"/>
              </w:rPr>
              <w:t>27</w:t>
            </w:r>
            <w:r w:rsidRPr="004D22E1">
              <w:rPr>
                <w:rFonts w:ascii="Arial Narrow" w:eastAsia="Calibri" w:hAnsi="Arial Narrow" w:cs="Arial"/>
                <w:sz w:val="24"/>
                <w:szCs w:val="24"/>
                <w:highlight w:val="cyan"/>
              </w:rPr>
              <w:t xml:space="preserve">/ </w:t>
            </w:r>
            <w:r w:rsidR="0008580C">
              <w:rPr>
                <w:rFonts w:ascii="Arial Narrow" w:eastAsia="Calibri" w:hAnsi="Arial Narrow" w:cs="Arial"/>
                <w:sz w:val="24"/>
                <w:szCs w:val="24"/>
                <w:highlight w:val="cyan"/>
              </w:rPr>
              <w:t>11</w:t>
            </w:r>
            <w:r w:rsidRPr="004D22E1">
              <w:rPr>
                <w:rFonts w:ascii="Arial Narrow" w:eastAsia="Calibri" w:hAnsi="Arial Narrow" w:cs="Arial"/>
                <w:sz w:val="24"/>
                <w:szCs w:val="24"/>
                <w:highlight w:val="cyan"/>
              </w:rPr>
              <w:t xml:space="preserve"> /  202</w:t>
            </w:r>
            <w:r w:rsidR="0064721A">
              <w:rPr>
                <w:rFonts w:ascii="Arial Narrow" w:eastAsia="Calibri" w:hAnsi="Arial Narrow" w:cs="Arial"/>
                <w:sz w:val="24"/>
                <w:szCs w:val="24"/>
              </w:rPr>
              <w:t>4</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share holders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of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RelationsDepartment</w:t>
            </w:r>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721EF3">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8C600C">
              <w:rPr>
                <w:rFonts w:ascii="Arial" w:hAnsi="Arial"/>
                <w:b/>
                <w:spacing w:val="-2"/>
                <w:sz w:val="24"/>
                <w:szCs w:val="24"/>
                <w:highlight w:val="yellow"/>
              </w:rPr>
              <w:t xml:space="preserve">Med/  </w:t>
            </w:r>
            <w:r w:rsidR="00721EF3">
              <w:rPr>
                <w:rFonts w:ascii="Arial" w:hAnsi="Arial"/>
                <w:b/>
                <w:spacing w:val="-2"/>
                <w:sz w:val="24"/>
                <w:szCs w:val="24"/>
                <w:highlight w:val="yellow"/>
              </w:rPr>
              <w:t>16</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08580C">
              <w:rPr>
                <w:rFonts w:ascii="Arial" w:hAnsi="Arial"/>
                <w:bCs/>
                <w:spacing w:val="-2"/>
                <w:sz w:val="24"/>
                <w:szCs w:val="24"/>
              </w:rPr>
              <w:t>A</w:t>
            </w:r>
          </w:p>
          <w:p w:rsidR="00672659" w:rsidRPr="004D22E1" w:rsidRDefault="00672659" w:rsidP="00721EF3">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721EF3">
              <w:rPr>
                <w:rFonts w:ascii="Arial" w:hAnsi="Arial"/>
                <w:bCs/>
                <w:spacing w:val="-2"/>
                <w:sz w:val="24"/>
                <w:szCs w:val="24"/>
                <w:u w:val="single"/>
              </w:rPr>
              <w:t>16</w:t>
            </w:r>
            <w:r w:rsidR="0008580C">
              <w:rPr>
                <w:rFonts w:ascii="Arial" w:hAnsi="Arial"/>
                <w:bCs/>
                <w:spacing w:val="-2"/>
                <w:sz w:val="24"/>
                <w:szCs w:val="24"/>
                <w:u w:val="single"/>
              </w:rPr>
              <w:t>A</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08580C">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721EF3">
              <w:rPr>
                <w:rFonts w:ascii="Arial" w:hAnsi="Arial"/>
                <w:sz w:val="24"/>
                <w:szCs w:val="24"/>
                <w:highlight w:val="yellow"/>
                <w:lang w:val="en-GB"/>
              </w:rPr>
              <w:t xml:space="preserve">                   </w:t>
            </w:r>
            <w:r w:rsidRPr="008C600C">
              <w:rPr>
                <w:rFonts w:ascii="Arial" w:hAnsi="Arial"/>
                <w:sz w:val="24"/>
                <w:szCs w:val="24"/>
                <w:highlight w:val="yellow"/>
                <w:lang w:val="en-GB"/>
              </w:rPr>
              <w:t xml:space="preserve"> </w:t>
            </w:r>
            <w:r w:rsidR="0008580C">
              <w:rPr>
                <w:rFonts w:ascii="Arial" w:hAnsi="Arial"/>
                <w:sz w:val="24"/>
                <w:szCs w:val="24"/>
                <w:highlight w:val="yellow"/>
                <w:lang w:val="en-GB"/>
              </w:rPr>
              <w:t>29</w:t>
            </w:r>
            <w:r w:rsidRPr="008C600C">
              <w:rPr>
                <w:rFonts w:ascii="Arial" w:hAnsi="Arial"/>
                <w:sz w:val="24"/>
                <w:szCs w:val="24"/>
                <w:highlight w:val="yellow"/>
                <w:lang w:val="en-GB"/>
              </w:rPr>
              <w:t xml:space="preserve"> /</w:t>
            </w:r>
            <w:r w:rsidR="0008580C">
              <w:rPr>
                <w:rFonts w:ascii="Arial" w:hAnsi="Arial"/>
                <w:sz w:val="24"/>
                <w:szCs w:val="24"/>
                <w:highlight w:val="yellow"/>
                <w:lang w:val="en-GB"/>
              </w:rPr>
              <w:t>10</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commitee._________________  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08580C">
            <w:pPr>
              <w:spacing w:line="240" w:lineRule="exact"/>
              <w:rPr>
                <w:rFonts w:ascii="Arial" w:hAnsi="Arial"/>
                <w:bCs/>
                <w:sz w:val="24"/>
                <w:szCs w:val="24"/>
                <w:lang w:val="en-GB"/>
              </w:rPr>
            </w:pPr>
            <w:r w:rsidRPr="004D22E1">
              <w:rPr>
                <w:rFonts w:ascii="Arial" w:hAnsi="Arial"/>
                <w:bCs/>
                <w:sz w:val="24"/>
                <w:szCs w:val="24"/>
                <w:lang w:val="en-GB"/>
              </w:rPr>
              <w:t xml:space="preserve">Date: [    </w:t>
            </w:r>
            <w:r w:rsidR="0008580C">
              <w:rPr>
                <w:rFonts w:ascii="Arial" w:hAnsi="Arial"/>
                <w:bCs/>
                <w:sz w:val="24"/>
                <w:szCs w:val="24"/>
                <w:lang w:val="en-GB"/>
              </w:rPr>
              <w:t>30</w:t>
            </w:r>
            <w:r w:rsidRPr="004D22E1">
              <w:rPr>
                <w:rFonts w:ascii="Arial" w:hAnsi="Arial"/>
                <w:bCs/>
                <w:sz w:val="24"/>
                <w:szCs w:val="24"/>
                <w:lang w:val="en-GB"/>
              </w:rPr>
              <w:t xml:space="preserve">–   </w:t>
            </w:r>
            <w:r w:rsidR="0008580C">
              <w:rPr>
                <w:rFonts w:ascii="Arial" w:hAnsi="Arial"/>
                <w:bCs/>
                <w:sz w:val="24"/>
                <w:szCs w:val="24"/>
                <w:lang w:val="en-GB"/>
              </w:rPr>
              <w:t>10</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bidders,the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atotal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The contracting entity may partition the awarding of supplying the goods ,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(Submitting the general budget audited by the legal auditors presenting the financial position of the previous years (last 2 yrs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assessmentcost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r w:rsidRPr="001D0C53">
              <w:rPr>
                <w:sz w:val="28"/>
              </w:rPr>
              <w:lastRenderedPageBreak/>
              <w:t>domestic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certificate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 w:val="28"/>
              </w:rPr>
              <w:t>duration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 w:val="28"/>
              </w:rPr>
              <w:t>company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Annual revenue is required according to the size of the contract (large, medium, small) and for the previous years ranging between (5-10).</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e-mailaddress</w:t>
            </w:r>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7"/>
        <w:gridCol w:w="551"/>
        <w:gridCol w:w="935"/>
        <w:gridCol w:w="571"/>
        <w:gridCol w:w="1301"/>
        <w:gridCol w:w="680"/>
        <w:gridCol w:w="358"/>
        <w:gridCol w:w="290"/>
        <w:gridCol w:w="637"/>
        <w:gridCol w:w="600"/>
        <w:gridCol w:w="521"/>
        <w:gridCol w:w="532"/>
        <w:gridCol w:w="577"/>
        <w:gridCol w:w="418"/>
        <w:gridCol w:w="372"/>
        <w:gridCol w:w="426"/>
        <w:gridCol w:w="447"/>
        <w:gridCol w:w="464"/>
        <w:gridCol w:w="372"/>
        <w:gridCol w:w="540"/>
        <w:gridCol w:w="596"/>
        <w:gridCol w:w="500"/>
        <w:gridCol w:w="479"/>
        <w:gridCol w:w="428"/>
        <w:gridCol w:w="492"/>
        <w:gridCol w:w="596"/>
      </w:tblGrid>
      <w:tr w:rsidR="00DE11BF" w:rsidRPr="00233B59" w:rsidTr="008A0C02">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8A0C02">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8A0C02" w:rsidRPr="00233B59" w:rsidTr="008A0C02">
        <w:trPr>
          <w:trHeight w:val="1609"/>
        </w:trPr>
        <w:tc>
          <w:tcPr>
            <w:tcW w:w="133"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364"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Supplying periocl</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8A0C02" w:rsidRPr="00233B59" w:rsidTr="008A0C02">
        <w:tc>
          <w:tcPr>
            <w:tcW w:w="133" w:type="pct"/>
            <w:shd w:val="clear" w:color="auto" w:fill="auto"/>
          </w:tcPr>
          <w:p w:rsidR="008A0C02" w:rsidRPr="00D14D22" w:rsidRDefault="008A0C02"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4E2474">
              <w:t>1</w:t>
            </w:r>
          </w:p>
        </w:tc>
        <w:tc>
          <w:tcPr>
            <w:tcW w:w="210" w:type="pct"/>
            <w:shd w:val="clear" w:color="auto" w:fill="auto"/>
            <w:vAlign w:val="center"/>
          </w:tcPr>
          <w:p w:rsidR="008A0C02" w:rsidRPr="00233B59" w:rsidRDefault="008A0C0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8A0C02" w:rsidRPr="00C6441A" w:rsidRDefault="008A0C02" w:rsidP="00073752"/>
        </w:tc>
        <w:tc>
          <w:tcPr>
            <w:tcW w:w="184" w:type="pct"/>
            <w:shd w:val="clear" w:color="auto" w:fill="auto"/>
            <w:vAlign w:val="center"/>
          </w:tcPr>
          <w:p w:rsidR="008A0C02" w:rsidRDefault="008A0C02">
            <w:pPr>
              <w:jc w:val="center"/>
              <w:rPr>
                <w:rFonts w:ascii="Arial" w:hAnsi="Arial" w:cs="Arial"/>
                <w:b/>
                <w:bCs/>
              </w:rPr>
            </w:pPr>
            <w:r>
              <w:rPr>
                <w:rFonts w:ascii="Arial" w:hAnsi="Arial" w:cs="Arial"/>
                <w:b/>
                <w:bCs/>
              </w:rPr>
              <w:t>15-AF0-080</w:t>
            </w:r>
          </w:p>
        </w:tc>
        <w:tc>
          <w:tcPr>
            <w:tcW w:w="178" w:type="pct"/>
            <w:shd w:val="clear" w:color="auto" w:fill="auto"/>
            <w:vAlign w:val="center"/>
          </w:tcPr>
          <w:p w:rsidR="008A0C02" w:rsidRDefault="008A0C02">
            <w:pPr>
              <w:jc w:val="center"/>
              <w:rPr>
                <w:b/>
                <w:bCs/>
                <w:sz w:val="18"/>
                <w:szCs w:val="18"/>
              </w:rPr>
            </w:pPr>
            <w:r>
              <w:rPr>
                <w:b/>
                <w:bCs/>
                <w:sz w:val="18"/>
                <w:szCs w:val="18"/>
              </w:rPr>
              <w:t xml:space="preserve">Daratumumab 400mg/20ml  vials concentrate for solution for infusion  </w:t>
            </w:r>
            <w:r>
              <w:rPr>
                <w:b/>
                <w:bCs/>
                <w:sz w:val="18"/>
                <w:szCs w:val="18"/>
                <w:rtl/>
              </w:rPr>
              <w:t xml:space="preserve">تلتزم الشركة بتجهيز احتياج ال 100مريض من مادة </w:t>
            </w:r>
            <w:r>
              <w:rPr>
                <w:b/>
                <w:bCs/>
                <w:sz w:val="18"/>
                <w:szCs w:val="18"/>
              </w:rPr>
              <w:br/>
              <w:t xml:space="preserve">bortozomib vial. </w:t>
            </w:r>
            <w:r>
              <w:rPr>
                <w:b/>
                <w:bCs/>
                <w:sz w:val="18"/>
                <w:szCs w:val="18"/>
                <w:rtl/>
              </w:rPr>
              <w:t>مجانا</w:t>
            </w:r>
            <w:r>
              <w:rPr>
                <w:b/>
                <w:bCs/>
                <w:sz w:val="18"/>
                <w:szCs w:val="18"/>
              </w:rPr>
              <w:br/>
            </w:r>
            <w:r>
              <w:rPr>
                <w:b/>
                <w:bCs/>
                <w:sz w:val="18"/>
                <w:szCs w:val="18"/>
              </w:rPr>
              <w:br/>
              <w:t xml:space="preserve"> </w:t>
            </w:r>
            <w:r>
              <w:rPr>
                <w:b/>
                <w:bCs/>
                <w:sz w:val="18"/>
                <w:szCs w:val="18"/>
                <w:rtl/>
              </w:rPr>
              <w:t xml:space="preserve">الزام الشركات الموردة للادوية البايولوجية بتجهيز الوزارة بالاجهزة التالية </w:t>
            </w:r>
            <w:r>
              <w:rPr>
                <w:b/>
                <w:bCs/>
                <w:sz w:val="18"/>
                <w:szCs w:val="18"/>
              </w:rPr>
              <w:br/>
              <w:t>1- serum protein electrophoresi</w:t>
            </w:r>
            <w:r>
              <w:rPr>
                <w:b/>
                <w:bCs/>
                <w:sz w:val="18"/>
                <w:szCs w:val="18"/>
              </w:rPr>
              <w:lastRenderedPageBreak/>
              <w:t xml:space="preserve">s and immunofixation </w:t>
            </w:r>
            <w:r>
              <w:rPr>
                <w:b/>
                <w:bCs/>
                <w:sz w:val="18"/>
                <w:szCs w:val="18"/>
              </w:rPr>
              <w:br/>
              <w:t>2- serum free light chain</w:t>
            </w:r>
            <w:r>
              <w:rPr>
                <w:b/>
                <w:bCs/>
                <w:sz w:val="18"/>
                <w:szCs w:val="18"/>
              </w:rPr>
              <w:br/>
            </w:r>
            <w:r>
              <w:rPr>
                <w:b/>
                <w:bCs/>
                <w:sz w:val="18"/>
                <w:szCs w:val="18"/>
                <w:rtl/>
              </w:rPr>
              <w:t>ويكون العدد خمسة اجهزة لسنة واحدة ( ثلاثة اجهزة من قبل الشركة المنتجة لمادة</w:t>
            </w:r>
            <w:r>
              <w:rPr>
                <w:b/>
                <w:bCs/>
                <w:sz w:val="18"/>
                <w:szCs w:val="18"/>
              </w:rPr>
              <w:t xml:space="preserve">  daratumumab </w:t>
            </w:r>
            <w:r>
              <w:rPr>
                <w:b/>
                <w:bCs/>
                <w:sz w:val="18"/>
                <w:szCs w:val="18"/>
                <w:rtl/>
              </w:rPr>
              <w:t>وجهازين من قبل الشركة المنتجة لمادة</w:t>
            </w:r>
            <w:r>
              <w:rPr>
                <w:b/>
                <w:bCs/>
                <w:sz w:val="18"/>
                <w:szCs w:val="18"/>
              </w:rPr>
              <w:t xml:space="preserve">  isatuximab ) </w:t>
            </w:r>
            <w:r>
              <w:rPr>
                <w:b/>
                <w:bCs/>
                <w:sz w:val="18"/>
                <w:szCs w:val="18"/>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r>
              <w:rPr>
                <w:b/>
                <w:bCs/>
                <w:sz w:val="18"/>
                <w:szCs w:val="18"/>
              </w:rPr>
              <w:t xml:space="preserve">                                                                                                                   </w:t>
            </w:r>
            <w:r>
              <w:rPr>
                <w:b/>
                <w:bCs/>
                <w:sz w:val="18"/>
                <w:szCs w:val="18"/>
                <w:rtl/>
              </w:rPr>
              <w:t>مواد الفحص المطلوبة مع الاجهزة المطلوبة</w:t>
            </w:r>
            <w:r>
              <w:rPr>
                <w:b/>
                <w:bCs/>
                <w:sz w:val="18"/>
                <w:szCs w:val="18"/>
              </w:rPr>
              <w:t xml:space="preserve">                                              serum protein electrophoresis kit    3kit                                   serum protein immunofixation kit     5kit                                  urine protein immunofixation kit       2kit                                   1177</w:t>
            </w:r>
            <w:r>
              <w:rPr>
                <w:b/>
                <w:bCs/>
                <w:sz w:val="18"/>
                <w:szCs w:val="18"/>
              </w:rPr>
              <w:br/>
            </w:r>
            <w:r>
              <w:rPr>
                <w:b/>
                <w:bCs/>
                <w:sz w:val="18"/>
                <w:szCs w:val="18"/>
                <w:rtl/>
              </w:rPr>
              <w:t>ج/1131</w:t>
            </w:r>
            <w:r>
              <w:rPr>
                <w:b/>
                <w:bCs/>
                <w:sz w:val="18"/>
                <w:szCs w:val="18"/>
              </w:rPr>
              <w:t xml:space="preserve">                      </w:t>
            </w:r>
            <w:r>
              <w:rPr>
                <w:b/>
                <w:bCs/>
                <w:sz w:val="18"/>
                <w:szCs w:val="18"/>
              </w:rPr>
              <w:lastRenderedPageBreak/>
              <w:t>1121</w:t>
            </w:r>
            <w:r>
              <w:rPr>
                <w:b/>
                <w:bCs/>
                <w:sz w:val="18"/>
                <w:szCs w:val="18"/>
              </w:rPr>
              <w:br/>
              <w:t>1173</w:t>
            </w:r>
            <w:r>
              <w:rPr>
                <w:b/>
                <w:bCs/>
                <w:sz w:val="18"/>
                <w:szCs w:val="18"/>
              </w:rPr>
              <w:br/>
              <w:t>1191</w:t>
            </w:r>
            <w:r>
              <w:rPr>
                <w:b/>
                <w:bCs/>
                <w:sz w:val="18"/>
                <w:szCs w:val="18"/>
              </w:rPr>
              <w:br/>
            </w:r>
            <w:r>
              <w:rPr>
                <w:b/>
                <w:bCs/>
                <w:sz w:val="18"/>
                <w:szCs w:val="18"/>
                <w:rtl/>
              </w:rPr>
              <w:t>كخط علاجي اول وفق البروتكول</w:t>
            </w:r>
            <w:r>
              <w:rPr>
                <w:b/>
                <w:bCs/>
                <w:sz w:val="18"/>
                <w:szCs w:val="18"/>
              </w:rPr>
              <w:t xml:space="preserve"> DRD </w:t>
            </w:r>
            <w:r>
              <w:rPr>
                <w:b/>
                <w:bCs/>
                <w:sz w:val="18"/>
                <w:szCs w:val="18"/>
                <w:rtl/>
              </w:rPr>
              <w:t>او</w:t>
            </w:r>
            <w:r>
              <w:rPr>
                <w:b/>
                <w:bCs/>
                <w:sz w:val="18"/>
                <w:szCs w:val="18"/>
              </w:rPr>
              <w:t xml:space="preserve"> DVRD </w:t>
            </w:r>
            <w:r>
              <w:rPr>
                <w:b/>
                <w:bCs/>
                <w:sz w:val="18"/>
                <w:szCs w:val="18"/>
                <w:rtl/>
              </w:rPr>
              <w:t>او</w:t>
            </w:r>
            <w:r>
              <w:rPr>
                <w:b/>
                <w:bCs/>
                <w:sz w:val="18"/>
                <w:szCs w:val="18"/>
              </w:rPr>
              <w:t xml:space="preserve">DVCD </w:t>
            </w:r>
            <w:r>
              <w:rPr>
                <w:b/>
                <w:bCs/>
                <w:sz w:val="18"/>
                <w:szCs w:val="18"/>
                <w:rtl/>
              </w:rPr>
              <w:t>،ويحدد صرفه لعلاج ١٠٠ مريض من الذين اعمارهم ٦٥-٧٥ والتي لايمكن اجراء زرع النخاع الذاتي</w:t>
            </w:r>
            <w:r>
              <w:rPr>
                <w:b/>
                <w:bCs/>
                <w:sz w:val="18"/>
                <w:szCs w:val="18"/>
              </w:rPr>
              <w:br/>
            </w:r>
            <w:r>
              <w:rPr>
                <w:b/>
                <w:bCs/>
                <w:sz w:val="18"/>
                <w:szCs w:val="18"/>
                <w:rtl/>
              </w:rPr>
              <w:t>وكخط ثاني ل 120مريض لاكمال علاج السنة الاولى من المرضى الذين استلموه كخط اول</w:t>
            </w:r>
            <w:r>
              <w:rPr>
                <w:b/>
                <w:bCs/>
                <w:sz w:val="18"/>
                <w:szCs w:val="18"/>
              </w:rPr>
              <w:br/>
            </w:r>
            <w:r>
              <w:rPr>
                <w:b/>
                <w:bCs/>
                <w:sz w:val="18"/>
                <w:szCs w:val="18"/>
                <w:rtl/>
              </w:rPr>
              <w:t>تتولى اللجنة الاستشارية وبالتنسيق مع تقدير الحاجة ومجلس السرطان وضع خطة لتوزيع</w:t>
            </w:r>
            <w:r>
              <w:rPr>
                <w:b/>
                <w:bCs/>
                <w:sz w:val="18"/>
                <w:szCs w:val="18"/>
              </w:rPr>
              <w:t xml:space="preserve">                                                                                                  </w:t>
            </w:r>
          </w:p>
        </w:tc>
        <w:tc>
          <w:tcPr>
            <w:tcW w:w="262" w:type="pct"/>
            <w:shd w:val="clear" w:color="auto" w:fill="auto"/>
            <w:vAlign w:val="center"/>
          </w:tcPr>
          <w:p w:rsidR="008A0C02" w:rsidRPr="00F04CA9" w:rsidRDefault="008A0C02" w:rsidP="00073752">
            <w:pPr>
              <w:spacing w:after="0" w:line="240" w:lineRule="auto"/>
              <w:rPr>
                <w:rFonts w:eastAsia="Times New Roman" w:cs="Calibri"/>
                <w:color w:val="000000"/>
              </w:rPr>
            </w:pPr>
          </w:p>
        </w:tc>
        <w:tc>
          <w:tcPr>
            <w:tcW w:w="134" w:type="pct"/>
            <w:shd w:val="clear" w:color="auto" w:fill="auto"/>
            <w:vAlign w:val="center"/>
          </w:tcPr>
          <w:p w:rsidR="008A0C02" w:rsidRDefault="008A0C02" w:rsidP="00073752">
            <w:pPr>
              <w:rPr>
                <w:rFonts w:cs="Calibri"/>
                <w:color w:val="000000"/>
              </w:rPr>
            </w:pPr>
          </w:p>
        </w:tc>
        <w:tc>
          <w:tcPr>
            <w:tcW w:w="106" w:type="pct"/>
            <w:shd w:val="clear" w:color="auto" w:fill="auto"/>
            <w:vAlign w:val="bottom"/>
          </w:tcPr>
          <w:p w:rsidR="008A0C02" w:rsidRDefault="008A0C02" w:rsidP="00073752">
            <w:pPr>
              <w:rPr>
                <w:rFonts w:cs="Calibri"/>
                <w:color w:val="000000"/>
                <w:sz w:val="16"/>
                <w:szCs w:val="16"/>
              </w:rPr>
            </w:pPr>
          </w:p>
        </w:tc>
        <w:tc>
          <w:tcPr>
            <w:tcW w:w="245" w:type="pct"/>
            <w:shd w:val="clear" w:color="auto" w:fill="auto"/>
            <w:vAlign w:val="bottom"/>
          </w:tcPr>
          <w:p w:rsidR="008A0C02" w:rsidRDefault="008A0C02" w:rsidP="00073752">
            <w:pPr>
              <w:rPr>
                <w:rFonts w:cs="Calibri"/>
                <w:color w:val="000000"/>
                <w:sz w:val="16"/>
                <w:szCs w:val="16"/>
              </w:rPr>
            </w:pPr>
          </w:p>
        </w:tc>
        <w:tc>
          <w:tcPr>
            <w:tcW w:w="230" w:type="pct"/>
            <w:shd w:val="clear" w:color="auto" w:fill="auto"/>
            <w:vAlign w:val="bottom"/>
          </w:tcPr>
          <w:p w:rsidR="008A0C02" w:rsidRDefault="008A0C02" w:rsidP="00073752">
            <w:pPr>
              <w:rPr>
                <w:rFonts w:cs="Calibri"/>
                <w:color w:val="000000"/>
                <w:sz w:val="16"/>
                <w:szCs w:val="16"/>
              </w:rPr>
            </w:pPr>
          </w:p>
        </w:tc>
        <w:tc>
          <w:tcPr>
            <w:tcW w:w="199" w:type="pct"/>
            <w:shd w:val="clear" w:color="auto" w:fill="auto"/>
            <w:vAlign w:val="bottom"/>
          </w:tcPr>
          <w:p w:rsidR="008A0C02" w:rsidRDefault="008A0C02" w:rsidP="00073752">
            <w:pPr>
              <w:rPr>
                <w:rFonts w:cs="Calibri"/>
                <w:color w:val="000000"/>
                <w:sz w:val="16"/>
                <w:szCs w:val="16"/>
              </w:rPr>
            </w:pPr>
          </w:p>
        </w:tc>
        <w:tc>
          <w:tcPr>
            <w:tcW w:w="203" w:type="pct"/>
            <w:shd w:val="clear" w:color="auto" w:fill="auto"/>
            <w:vAlign w:val="center"/>
          </w:tcPr>
          <w:p w:rsidR="008A0C02" w:rsidRPr="00233B59" w:rsidRDefault="008A0C0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8A0C02" w:rsidRPr="00233B59" w:rsidRDefault="008A0C02"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8A0C02" w:rsidRDefault="008A0C0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8A0C02" w:rsidRPr="00233B59" w:rsidRDefault="008A0C0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8A0C02" w:rsidRPr="005F17BD" w:rsidRDefault="008A0C02"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8A0C02" w:rsidRPr="00233B59" w:rsidRDefault="008A0C0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8A0C02" w:rsidRPr="00233B59" w:rsidRDefault="008A0C0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8A0C02" w:rsidRPr="00233B59" w:rsidRDefault="008A0C0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8A0C02" w:rsidRPr="00233B59" w:rsidRDefault="008A0C0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8A0C02" w:rsidRDefault="008A0C0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8A0C02" w:rsidRDefault="008A0C0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8A0C02" w:rsidRPr="005F17BD" w:rsidRDefault="008A0C02"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8A0C02" w:rsidRPr="00233B59" w:rsidRDefault="008A0C0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8A0C02" w:rsidRPr="00233B59" w:rsidRDefault="008A0C0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8A0C02" w:rsidRDefault="008A0C0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8A0C02" w:rsidRPr="00233B59" w:rsidTr="008A0C02">
        <w:tc>
          <w:tcPr>
            <w:tcW w:w="133" w:type="pct"/>
            <w:shd w:val="clear" w:color="auto" w:fill="auto"/>
          </w:tcPr>
          <w:p w:rsidR="008A0C02" w:rsidRPr="004E2474" w:rsidRDefault="008A0C02" w:rsidP="00073752">
            <w:pPr>
              <w:spacing w:after="0" w:line="180" w:lineRule="exact"/>
              <w:jc w:val="center"/>
            </w:pPr>
            <w:r>
              <w:lastRenderedPageBreak/>
              <w:t>2</w:t>
            </w:r>
          </w:p>
        </w:tc>
        <w:tc>
          <w:tcPr>
            <w:tcW w:w="210" w:type="pct"/>
            <w:shd w:val="clear" w:color="auto" w:fill="auto"/>
            <w:vAlign w:val="center"/>
          </w:tcPr>
          <w:p w:rsidR="008A0C02" w:rsidRPr="00233B59" w:rsidRDefault="008A0C0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8A0C02" w:rsidRPr="00C6441A" w:rsidRDefault="008A0C02" w:rsidP="00073752"/>
        </w:tc>
        <w:tc>
          <w:tcPr>
            <w:tcW w:w="184" w:type="pct"/>
            <w:shd w:val="clear" w:color="auto" w:fill="auto"/>
            <w:vAlign w:val="center"/>
          </w:tcPr>
          <w:p w:rsidR="008A0C02" w:rsidRDefault="008A0C02">
            <w:pPr>
              <w:jc w:val="center"/>
              <w:rPr>
                <w:rFonts w:ascii="Arial" w:hAnsi="Arial" w:cs="Arial"/>
                <w:b/>
                <w:bCs/>
              </w:rPr>
            </w:pPr>
            <w:r>
              <w:rPr>
                <w:rFonts w:ascii="Arial" w:hAnsi="Arial" w:cs="Arial"/>
                <w:b/>
                <w:bCs/>
              </w:rPr>
              <w:t>15-AF0-112</w:t>
            </w:r>
          </w:p>
        </w:tc>
        <w:tc>
          <w:tcPr>
            <w:tcW w:w="178" w:type="pct"/>
            <w:shd w:val="clear" w:color="auto" w:fill="auto"/>
          </w:tcPr>
          <w:p w:rsidR="008A0C02" w:rsidRDefault="008A0C02">
            <w:pPr>
              <w:rPr>
                <w:rFonts w:ascii="Arial" w:hAnsi="Arial" w:cs="Arial"/>
              </w:rPr>
            </w:pPr>
            <w:r>
              <w:rPr>
                <w:rFonts w:ascii="Arial" w:hAnsi="Arial" w:cs="Arial"/>
              </w:rPr>
              <w:t xml:space="preserve"> Isatuximab 20 mg per 1 ml Sarclisa 500mg/25ml concentrate for solution for infusion</w:t>
            </w:r>
            <w:r>
              <w:rPr>
                <w:rFonts w:ascii="Arial" w:hAnsi="Arial" w:cs="Arial"/>
              </w:rPr>
              <w:br w:type="page"/>
            </w:r>
            <w:r>
              <w:rPr>
                <w:rFonts w:ascii="Arial" w:hAnsi="Arial" w:cs="Arial"/>
                <w:rtl/>
              </w:rPr>
              <w:t xml:space="preserve">الزام الشركات </w:t>
            </w:r>
            <w:r>
              <w:rPr>
                <w:rFonts w:ascii="Arial" w:hAnsi="Arial" w:cs="Arial"/>
                <w:rtl/>
              </w:rPr>
              <w:lastRenderedPageBreak/>
              <w:t xml:space="preserve">الموردة للادوية البايولوجية بتجهيز الوزارة بالاجهزة التالية </w:t>
            </w:r>
            <w:r>
              <w:rPr>
                <w:rFonts w:ascii="Arial" w:hAnsi="Arial" w:cs="Arial"/>
              </w:rPr>
              <w:br w:type="page"/>
              <w:t xml:space="preserve">1- serum protein electrophoresis and immunofixation </w:t>
            </w:r>
            <w:r>
              <w:rPr>
                <w:rFonts w:ascii="Arial" w:hAnsi="Arial" w:cs="Arial"/>
              </w:rPr>
              <w:br w:type="page"/>
              <w:t>2- serum free light chain</w:t>
            </w:r>
            <w:r>
              <w:rPr>
                <w:rFonts w:ascii="Arial" w:hAnsi="Arial" w:cs="Arial"/>
              </w:rPr>
              <w:br w:type="page"/>
            </w:r>
            <w:r>
              <w:rPr>
                <w:rFonts w:ascii="Arial" w:hAnsi="Arial" w:cs="Arial"/>
                <w:rtl/>
              </w:rPr>
              <w:t>ويكون العدد خمسة اجهزة لسنة واحدة ( ثلاثة اجهزة من قبل الشركة المنتجة لمادة</w:t>
            </w:r>
            <w:r>
              <w:rPr>
                <w:rFonts w:ascii="Arial" w:hAnsi="Arial" w:cs="Arial"/>
              </w:rPr>
              <w:t xml:space="preserve">  daratumumab </w:t>
            </w:r>
            <w:r>
              <w:rPr>
                <w:rFonts w:ascii="Arial" w:hAnsi="Arial" w:cs="Arial"/>
                <w:rtl/>
              </w:rPr>
              <w:t>وجهازين من قبل الشركة المنتجة لمادة</w:t>
            </w:r>
            <w:r>
              <w:rPr>
                <w:rFonts w:ascii="Arial" w:hAnsi="Arial" w:cs="Arial"/>
              </w:rPr>
              <w:t xml:space="preserve">  isatuximab ) </w:t>
            </w:r>
            <w:r>
              <w:rPr>
                <w:rFonts w:ascii="Arial" w:hAnsi="Arial" w:cs="Arial"/>
                <w:rtl/>
              </w:rPr>
              <w:t xml:space="preserve">ويعاد النظر بهذه الاجهزة مع العقود اللاحقة وتتولى اللجنة الاستشارية لوضع مواصفات الاجهزة وتحديد </w:t>
            </w:r>
            <w:r>
              <w:rPr>
                <w:rFonts w:ascii="Arial" w:hAnsi="Arial" w:cs="Arial"/>
                <w:rtl/>
              </w:rPr>
              <w:lastRenderedPageBreak/>
              <w:t>اعداد المواد التشغيلية والتي يجب ان تتضمنها العقود</w:t>
            </w:r>
            <w:r>
              <w:rPr>
                <w:rFonts w:ascii="Arial" w:hAnsi="Arial" w:cs="Arial"/>
              </w:rPr>
              <w:br w:type="page"/>
              <w:t xml:space="preserve">                                         </w:t>
            </w:r>
            <w:r>
              <w:rPr>
                <w:rFonts w:ascii="Arial" w:hAnsi="Arial" w:cs="Arial"/>
              </w:rPr>
              <w:br w:type="page"/>
            </w:r>
          </w:p>
        </w:tc>
        <w:tc>
          <w:tcPr>
            <w:tcW w:w="262" w:type="pct"/>
            <w:shd w:val="clear" w:color="auto" w:fill="auto"/>
            <w:vAlign w:val="center"/>
          </w:tcPr>
          <w:p w:rsidR="008A0C02" w:rsidRPr="00F04CA9" w:rsidRDefault="008A0C02" w:rsidP="00073752">
            <w:pPr>
              <w:spacing w:after="0" w:line="240" w:lineRule="auto"/>
              <w:rPr>
                <w:rFonts w:eastAsia="Times New Roman" w:cs="Calibri"/>
                <w:color w:val="000000"/>
              </w:rPr>
            </w:pPr>
          </w:p>
        </w:tc>
        <w:tc>
          <w:tcPr>
            <w:tcW w:w="134" w:type="pct"/>
            <w:shd w:val="clear" w:color="auto" w:fill="auto"/>
            <w:vAlign w:val="center"/>
          </w:tcPr>
          <w:p w:rsidR="008A0C02" w:rsidRDefault="008A0C02" w:rsidP="00073752">
            <w:pPr>
              <w:rPr>
                <w:rFonts w:cs="Calibri"/>
                <w:color w:val="000000"/>
              </w:rPr>
            </w:pPr>
          </w:p>
        </w:tc>
        <w:tc>
          <w:tcPr>
            <w:tcW w:w="106" w:type="pct"/>
            <w:shd w:val="clear" w:color="auto" w:fill="auto"/>
            <w:vAlign w:val="bottom"/>
          </w:tcPr>
          <w:p w:rsidR="008A0C02" w:rsidRDefault="008A0C02" w:rsidP="00073752">
            <w:pPr>
              <w:rPr>
                <w:rFonts w:cs="Calibri"/>
                <w:color w:val="000000"/>
                <w:sz w:val="16"/>
                <w:szCs w:val="16"/>
              </w:rPr>
            </w:pPr>
          </w:p>
        </w:tc>
        <w:tc>
          <w:tcPr>
            <w:tcW w:w="245" w:type="pct"/>
            <w:shd w:val="clear" w:color="auto" w:fill="auto"/>
            <w:vAlign w:val="bottom"/>
          </w:tcPr>
          <w:p w:rsidR="008A0C02" w:rsidRDefault="008A0C02" w:rsidP="00073752">
            <w:pPr>
              <w:rPr>
                <w:rFonts w:cs="Calibri"/>
                <w:color w:val="000000"/>
                <w:sz w:val="16"/>
                <w:szCs w:val="16"/>
              </w:rPr>
            </w:pPr>
          </w:p>
        </w:tc>
        <w:tc>
          <w:tcPr>
            <w:tcW w:w="230" w:type="pct"/>
            <w:shd w:val="clear" w:color="auto" w:fill="auto"/>
            <w:vAlign w:val="bottom"/>
          </w:tcPr>
          <w:p w:rsidR="008A0C02" w:rsidRDefault="008A0C02" w:rsidP="00073752">
            <w:pPr>
              <w:rPr>
                <w:rFonts w:cs="Calibri"/>
                <w:color w:val="000000"/>
                <w:sz w:val="16"/>
                <w:szCs w:val="16"/>
              </w:rPr>
            </w:pPr>
          </w:p>
        </w:tc>
        <w:tc>
          <w:tcPr>
            <w:tcW w:w="199" w:type="pct"/>
            <w:shd w:val="clear" w:color="auto" w:fill="auto"/>
            <w:vAlign w:val="bottom"/>
          </w:tcPr>
          <w:p w:rsidR="008A0C02" w:rsidRDefault="008A0C02" w:rsidP="00073752">
            <w:pPr>
              <w:rPr>
                <w:rFonts w:cs="Calibri"/>
                <w:color w:val="000000"/>
                <w:sz w:val="16"/>
                <w:szCs w:val="16"/>
              </w:rPr>
            </w:pPr>
          </w:p>
        </w:tc>
        <w:tc>
          <w:tcPr>
            <w:tcW w:w="203" w:type="pct"/>
            <w:shd w:val="clear" w:color="auto" w:fill="auto"/>
            <w:vAlign w:val="center"/>
          </w:tcPr>
          <w:p w:rsidR="008A0C02" w:rsidRPr="00233B59" w:rsidRDefault="008A0C0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8A0C02" w:rsidRPr="00233B59" w:rsidRDefault="008A0C02"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8A0C02" w:rsidRDefault="008A0C0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8A0C02" w:rsidRPr="00233B59" w:rsidRDefault="008A0C0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8A0C02" w:rsidRPr="005F17BD" w:rsidRDefault="008A0C02"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8A0C02" w:rsidRPr="00233B59" w:rsidRDefault="008A0C0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8A0C02" w:rsidRPr="00233B59" w:rsidRDefault="008A0C0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8A0C02" w:rsidRPr="00233B59" w:rsidRDefault="008A0C0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8A0C02" w:rsidRPr="00233B59" w:rsidRDefault="008A0C0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8A0C02" w:rsidRDefault="008A0C0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8A0C02" w:rsidRDefault="008A0C0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8A0C02" w:rsidRPr="005F17BD" w:rsidRDefault="008A0C02"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8A0C02" w:rsidRPr="00233B59" w:rsidRDefault="008A0C0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8A0C02" w:rsidRPr="00233B59" w:rsidRDefault="008A0C0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8A0C02" w:rsidRDefault="008A0C0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hint="cs"/>
          <w:sz w:val="20"/>
          <w:rtl/>
          <w:lang w:bidi="ar-IQ"/>
        </w:rPr>
      </w:pPr>
      <w:bookmarkStart w:id="55" w:name="_GoBack"/>
      <w:bookmarkEnd w:id="55"/>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b-   by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Quantity and physical uni</w:t>
                  </w:r>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the items offer should be stated by it’s commercial name if it offer in it’s scientific name should be stated in pharmacopoeia standards.</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distribution,storage,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i/>
                <w:sz w:val="24"/>
                <w:szCs w:val="24"/>
              </w:rPr>
              <w:t>and detail will be clearly indicated at the time of bidding, and confirmation of the design of such logoshall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theSCC.</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color w:val="000000"/>
                <w:sz w:val="24"/>
                <w:szCs w:val="24"/>
                <w:lang w:val="en-GB"/>
              </w:rPr>
              <w:t>is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w:t>
            </w:r>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r w:rsidRPr="008D12BA">
              <w:rPr>
                <w:rFonts w:ascii="Arial Narrow" w:eastAsia="Calibri" w:hAnsi="Arial Narrow" w:cs="Arial"/>
                <w:sz w:val="24"/>
                <w:szCs w:val="24"/>
              </w:rPr>
              <w:t xml:space="preserve">:The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withdrawl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(b) in case there is no way to achieve the contract for anyreason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b/>
                <w:color w:val="000000" w:themeColor="text1"/>
                <w:sz w:val="24"/>
                <w:szCs w:val="24"/>
              </w:rPr>
              <w:t>(Ministry/Directorte)]</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r w:rsidRPr="008D12BA">
              <w:rPr>
                <w:sz w:val="24"/>
                <w:szCs w:val="24"/>
              </w:rPr>
              <w:t>following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Submit the orginal commercial lists to the import department before shipment are sent  for each shipment otherwise,the 1</w:t>
            </w:r>
            <w:r w:rsidRPr="00A36F21">
              <w:rPr>
                <w:szCs w:val="24"/>
                <w:vertAlign w:val="superscript"/>
              </w:rPr>
              <w:t>st</w:t>
            </w:r>
            <w:r w:rsidRPr="00A36F21">
              <w:rPr>
                <w:szCs w:val="24"/>
              </w:rPr>
              <w:t xml:space="preserve"> party will impose an import penlty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registration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Kimadia,                           </w:t>
            </w:r>
          </w:p>
          <w:p w:rsidR="00687F1E" w:rsidRPr="008D12BA" w:rsidRDefault="00687F1E" w:rsidP="00E66831">
            <w:pPr>
              <w:bidi/>
              <w:ind w:left="360"/>
              <w:jc w:val="center"/>
              <w:rPr>
                <w:b/>
                <w:bCs/>
                <w:sz w:val="24"/>
                <w:szCs w:val="24"/>
                <w:rtl/>
                <w:lang w:bidi="ar-IQ"/>
              </w:rPr>
            </w:pPr>
            <w:r w:rsidRPr="008D12BA">
              <w:rPr>
                <w:b/>
                <w:bCs/>
                <w:sz w:val="24"/>
                <w:szCs w:val="24"/>
                <w:lang w:bidi="ar-IQ"/>
              </w:rPr>
              <w:t xml:space="preserve">b- Foreign companies may submit the final insurance within 21 days of signing the contract,  after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o  f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r w:rsidRPr="008D12BA">
              <w:rPr>
                <w:sz w:val="24"/>
                <w:szCs w:val="24"/>
              </w:rPr>
              <w:t>one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r w:rsidRPr="008D12BA">
              <w:rPr>
                <w:sz w:val="24"/>
                <w:szCs w:val="24"/>
              </w:rPr>
              <w:t xml:space="preserve">performance guarantee should be issued by the order of thecompany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kimadia by the bank who issued the guarantee. This guarantee should be unconditional and for the favor of (kimadia). Kimadia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1-The letters of guarantee should be issued by the name of the company which signed the contract  .</w:t>
            </w:r>
          </w:p>
          <w:p w:rsidR="00687F1E" w:rsidRPr="008D12BA" w:rsidRDefault="00687F1E" w:rsidP="00E66831">
            <w:pPr>
              <w:spacing w:after="162"/>
              <w:ind w:left="107"/>
              <w:rPr>
                <w:sz w:val="24"/>
                <w:szCs w:val="24"/>
              </w:rPr>
            </w:pPr>
            <w:r w:rsidRPr="008D12BA">
              <w:rPr>
                <w:sz w:val="24"/>
                <w:szCs w:val="24"/>
              </w:rPr>
              <w:t>2-Be sure that the contract no. is mentioned in the letter of guarantee .</w:t>
            </w:r>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10-The letters of guarantee issued by the approved banks shall be received in accordance with a(bulletin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do .</w:t>
            </w:r>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11-The letter of guarantee must be the same as the contract currency .</w:t>
            </w:r>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(Kimadia).</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at  thecenterallabrotatories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(MOH-lraq) , beneficiary name and shelf life(MF&amp;Exp.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MOH/Kimadia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Certificate,to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rsidR="00687F1E" w:rsidRPr="008D12BA" w:rsidRDefault="00687F1E" w:rsidP="00CB43F5">
            <w:pPr>
              <w:spacing w:line="390" w:lineRule="auto"/>
              <w:ind w:left="58"/>
              <w:rPr>
                <w:sz w:val="24"/>
                <w:szCs w:val="24"/>
              </w:rPr>
            </w:pPr>
            <w:r w:rsidRPr="008D12BA">
              <w:rPr>
                <w:sz w:val="24"/>
                <w:szCs w:val="24"/>
              </w:rPr>
              <w:t>-Receiving the supplied items upon their arrival to MOH/ Kimadia  stores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mentioned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ratios mentioned in pharagraph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Kimadia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r w:rsidRPr="008D12BA">
              <w:rPr>
                <w:sz w:val="24"/>
                <w:szCs w:val="24"/>
              </w:rPr>
              <w:t>from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kimadia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kimadia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MOH/ Kimadia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In case the item failed in the analysis or have been expired and the company does not respond for compensation within 30 days after sending a warning letter including the compensation &amp; draw the failed or expired item, kimadia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1 -It is 100% after examination and acceptance  and after financial allocation has been recieved</w:t>
            </w:r>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r w:rsidRPr="008D12BA">
              <w:rPr>
                <w:sz w:val="24"/>
                <w:szCs w:val="24"/>
              </w:rPr>
              <w:lastRenderedPageBreak/>
              <w:t>C.If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1- KIMADIA has the right to impose penlty</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A contractual fine (1-5%) of the contract value if the contract consists of one shipment, and a contract fine (1-10%) of the contract value if the contract includes more than one shipment.</w:t>
            </w:r>
            <w:r w:rsidRPr="008D12BA">
              <w:rPr>
                <w:sz w:val="24"/>
                <w:szCs w:val="24"/>
              </w:rPr>
              <w:t>cases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shourtage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r w:rsidRPr="008D12BA">
              <w:rPr>
                <w:sz w:val="24"/>
                <w:szCs w:val="24"/>
              </w:rPr>
              <w:t>d-In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b-The delay penalty shall be deducted upon expiry of the original contract period with any additional period or upon desert in case of parialshippment</w:t>
            </w:r>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on ,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r w:rsidRPr="008D12BA">
              <w:rPr>
                <w:sz w:val="24"/>
                <w:szCs w:val="24"/>
              </w:rPr>
              <w:t>Kimadia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manager...etc)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 ten thousand Iraqi Dinars for parking and parking overnight for the trucks that specified for transporting the drug and appliances to the stores of kimadia/Ministry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Earning an amount of (250) two hundred &amp;fifty   thousand Iraqi Dinars for each objection request presented by the Scientific Bureau or company for any Importing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...etc) inside and outside Iraq are on the seller expenses till reaching the company stores</w:t>
            </w:r>
          </w:p>
          <w:p w:rsidR="00687F1E" w:rsidRPr="008D12BA" w:rsidRDefault="00687F1E" w:rsidP="00056AA6">
            <w:pPr>
              <w:ind w:left="83"/>
              <w:rPr>
                <w:sz w:val="24"/>
                <w:szCs w:val="24"/>
              </w:rPr>
            </w:pPr>
            <w:r w:rsidRPr="008D12BA">
              <w:rPr>
                <w:sz w:val="24"/>
                <w:szCs w:val="24"/>
              </w:rPr>
              <w:t>The awarded company bears (the 2nd part that contracted with our company ) all customs fees.</w:t>
            </w:r>
          </w:p>
          <w:p w:rsidR="00687F1E" w:rsidRPr="008D12BA" w:rsidRDefault="00687F1E" w:rsidP="00056AA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rsidR="00687F1E" w:rsidRPr="008D12BA" w:rsidRDefault="00687F1E" w:rsidP="00056AA6">
            <w:pPr>
              <w:ind w:left="83"/>
              <w:rPr>
                <w:sz w:val="24"/>
                <w:szCs w:val="24"/>
              </w:rPr>
            </w:pPr>
            <w:r w:rsidRPr="008D12BA">
              <w:rPr>
                <w:sz w:val="24"/>
                <w:szCs w:val="24"/>
              </w:rPr>
              <w:t>- The amount of selling the form &amp; disk (cd) of National Board For Selection Of The Drugs/NBSD is paid for  (50)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The inclusion of the Internet system in the contracts of supplying Thalassima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z w:val="24"/>
                <w:szCs w:val="24"/>
              </w:rPr>
              <w:t>ise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1252" w:rsidRDefault="00661252" w:rsidP="00400881">
      <w:pPr>
        <w:spacing w:after="0" w:line="240" w:lineRule="auto"/>
      </w:pPr>
      <w:r>
        <w:separator/>
      </w:r>
    </w:p>
  </w:endnote>
  <w:endnote w:type="continuationSeparator" w:id="0">
    <w:p w:rsidR="00661252" w:rsidRDefault="00661252"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3055E5" w:rsidRPr="00D1391E" w:rsidRDefault="003055E5"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A0C02">
          <w:rPr>
            <w:noProof/>
            <w:sz w:val="24"/>
            <w:szCs w:val="24"/>
          </w:rPr>
          <w:t>73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1252" w:rsidRDefault="00661252" w:rsidP="00400881">
      <w:pPr>
        <w:spacing w:after="0" w:line="240" w:lineRule="auto"/>
      </w:pPr>
      <w:r>
        <w:separator/>
      </w:r>
    </w:p>
  </w:footnote>
  <w:footnote w:type="continuationSeparator" w:id="0">
    <w:p w:rsidR="00661252" w:rsidRDefault="00661252" w:rsidP="00400881">
      <w:pPr>
        <w:spacing w:after="0" w:line="240" w:lineRule="auto"/>
      </w:pPr>
      <w:r>
        <w:continuationSeparator/>
      </w:r>
    </w:p>
  </w:footnote>
  <w:footnote w:id="1">
    <w:p w:rsidR="003055E5" w:rsidRDefault="003055E5"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3055E5" w:rsidRDefault="003055E5"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3055E5" w:rsidRDefault="003055E5"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E5" w:rsidRDefault="003055E5">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3055E5" w:rsidRDefault="003055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E5" w:rsidRDefault="003055E5"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580C"/>
    <w:rsid w:val="00086006"/>
    <w:rsid w:val="00091AE6"/>
    <w:rsid w:val="000A5161"/>
    <w:rsid w:val="000C7E6B"/>
    <w:rsid w:val="000D20E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2A23"/>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800C9"/>
    <w:rsid w:val="0028343A"/>
    <w:rsid w:val="00287D79"/>
    <w:rsid w:val="00292406"/>
    <w:rsid w:val="00292A7E"/>
    <w:rsid w:val="0029363F"/>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055E5"/>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5B5"/>
    <w:rsid w:val="003B1D3F"/>
    <w:rsid w:val="003B3AD3"/>
    <w:rsid w:val="003B60CE"/>
    <w:rsid w:val="003B7DDD"/>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1932"/>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35D0"/>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52"/>
    <w:rsid w:val="0066128F"/>
    <w:rsid w:val="0066537A"/>
    <w:rsid w:val="00665EF8"/>
    <w:rsid w:val="006672AE"/>
    <w:rsid w:val="00672659"/>
    <w:rsid w:val="006779EB"/>
    <w:rsid w:val="00682F5F"/>
    <w:rsid w:val="00685D78"/>
    <w:rsid w:val="00687F1E"/>
    <w:rsid w:val="006932F6"/>
    <w:rsid w:val="006A3D27"/>
    <w:rsid w:val="006A453B"/>
    <w:rsid w:val="006B0652"/>
    <w:rsid w:val="006C13BD"/>
    <w:rsid w:val="006D0532"/>
    <w:rsid w:val="006D28F5"/>
    <w:rsid w:val="006D2B1F"/>
    <w:rsid w:val="006E1346"/>
    <w:rsid w:val="006E4937"/>
    <w:rsid w:val="006F20C3"/>
    <w:rsid w:val="006F3866"/>
    <w:rsid w:val="00704953"/>
    <w:rsid w:val="00706B5D"/>
    <w:rsid w:val="00712168"/>
    <w:rsid w:val="0071216C"/>
    <w:rsid w:val="00713E7F"/>
    <w:rsid w:val="007143D2"/>
    <w:rsid w:val="00717A4F"/>
    <w:rsid w:val="007210D8"/>
    <w:rsid w:val="00721EF3"/>
    <w:rsid w:val="00724507"/>
    <w:rsid w:val="00726812"/>
    <w:rsid w:val="007315BD"/>
    <w:rsid w:val="0073588C"/>
    <w:rsid w:val="00744FCC"/>
    <w:rsid w:val="007540AB"/>
    <w:rsid w:val="007612C7"/>
    <w:rsid w:val="0077261B"/>
    <w:rsid w:val="00784DDB"/>
    <w:rsid w:val="007866A9"/>
    <w:rsid w:val="00787BDB"/>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F49"/>
    <w:rsid w:val="00826799"/>
    <w:rsid w:val="00831CEB"/>
    <w:rsid w:val="00835BAA"/>
    <w:rsid w:val="00837A21"/>
    <w:rsid w:val="00841C53"/>
    <w:rsid w:val="00844C91"/>
    <w:rsid w:val="00852F5A"/>
    <w:rsid w:val="008558E1"/>
    <w:rsid w:val="0086316C"/>
    <w:rsid w:val="00874D0D"/>
    <w:rsid w:val="008805F1"/>
    <w:rsid w:val="00880AE3"/>
    <w:rsid w:val="00884FDB"/>
    <w:rsid w:val="00885130"/>
    <w:rsid w:val="00887560"/>
    <w:rsid w:val="008977AF"/>
    <w:rsid w:val="008A0586"/>
    <w:rsid w:val="008A0C02"/>
    <w:rsid w:val="008A1C1E"/>
    <w:rsid w:val="008A7F45"/>
    <w:rsid w:val="008B2009"/>
    <w:rsid w:val="008B3EFD"/>
    <w:rsid w:val="008B59A7"/>
    <w:rsid w:val="008B7483"/>
    <w:rsid w:val="008B7D65"/>
    <w:rsid w:val="008C1B20"/>
    <w:rsid w:val="008C1C09"/>
    <w:rsid w:val="008C600C"/>
    <w:rsid w:val="008C68C5"/>
    <w:rsid w:val="008C6EA8"/>
    <w:rsid w:val="008D12BA"/>
    <w:rsid w:val="008D34A2"/>
    <w:rsid w:val="008E3F66"/>
    <w:rsid w:val="008E5225"/>
    <w:rsid w:val="008E5C62"/>
    <w:rsid w:val="008F2D5E"/>
    <w:rsid w:val="00904CC2"/>
    <w:rsid w:val="009100DB"/>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A7F88"/>
    <w:rsid w:val="00BB0628"/>
    <w:rsid w:val="00BC091B"/>
    <w:rsid w:val="00BC52BD"/>
    <w:rsid w:val="00BD1CA6"/>
    <w:rsid w:val="00BD1DE4"/>
    <w:rsid w:val="00BD4733"/>
    <w:rsid w:val="00BD580A"/>
    <w:rsid w:val="00BD68EA"/>
    <w:rsid w:val="00BE1B3D"/>
    <w:rsid w:val="00BE42DF"/>
    <w:rsid w:val="00BF68F4"/>
    <w:rsid w:val="00C001C1"/>
    <w:rsid w:val="00C0233C"/>
    <w:rsid w:val="00C12488"/>
    <w:rsid w:val="00C13A9D"/>
    <w:rsid w:val="00C159AF"/>
    <w:rsid w:val="00C170F8"/>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F1B9A"/>
    <w:rsid w:val="00CF22FB"/>
    <w:rsid w:val="00CF656D"/>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34F7"/>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E20FA"/>
    <w:rsid w:val="00FE7616"/>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0BDE20-DABB-4318-8106-48090E88A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736</TotalTime>
  <Pages>134</Pages>
  <Words>35931</Words>
  <Characters>204809</Characters>
  <Application>Microsoft Office Word</Application>
  <DocSecurity>0</DocSecurity>
  <Lines>1706</Lines>
  <Paragraphs>480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240260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125</cp:revision>
  <cp:lastPrinted>2023-04-18T06:58:00Z</cp:lastPrinted>
  <dcterms:created xsi:type="dcterms:W3CDTF">2022-01-13T10:10:00Z</dcterms:created>
  <dcterms:modified xsi:type="dcterms:W3CDTF">2023-10-12T06:29:00Z</dcterms:modified>
</cp:coreProperties>
</file>