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AB538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073">
        <w:rPr>
          <w:rFonts w:asciiTheme="minorBidi" w:hAnsiTheme="minorBidi"/>
          <w:sz w:val="32"/>
          <w:szCs w:val="32"/>
        </w:rPr>
        <w:t xml:space="preserve"> 87/2023/</w:t>
      </w:r>
      <w:r w:rsidR="00AB5386">
        <w:rPr>
          <w:rFonts w:asciiTheme="minorBidi" w:hAnsiTheme="minorBidi"/>
          <w:sz w:val="32"/>
          <w:szCs w:val="32"/>
        </w:rPr>
        <w:t>125</w:t>
      </w:r>
    </w:p>
    <w:p w:rsidR="00F82947" w:rsidRPr="00C84D0C" w:rsidRDefault="00F82947" w:rsidP="002213B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2213BD">
        <w:rPr>
          <w:rFonts w:asciiTheme="minorBidi" w:hAnsiTheme="minorBidi"/>
          <w:sz w:val="32"/>
          <w:szCs w:val="32"/>
        </w:rPr>
        <w:t>5</w:t>
      </w:r>
      <w:r w:rsidR="00DE6F40">
        <w:rPr>
          <w:rFonts w:asciiTheme="minorBidi" w:hAnsiTheme="minorBidi"/>
          <w:sz w:val="32"/>
          <w:szCs w:val="32"/>
        </w:rPr>
        <w:t>/</w:t>
      </w:r>
      <w:r w:rsidR="002213BD">
        <w:rPr>
          <w:rFonts w:asciiTheme="minorBidi" w:hAnsiTheme="minorBidi"/>
          <w:sz w:val="32"/>
          <w:szCs w:val="32"/>
        </w:rPr>
        <w:t>12</w:t>
      </w:r>
      <w:r w:rsidR="00DE6F40">
        <w:rPr>
          <w:rFonts w:asciiTheme="minorBidi" w:hAnsiTheme="minorBidi"/>
          <w:sz w:val="32"/>
          <w:szCs w:val="32"/>
        </w:rPr>
        <w:t>/</w:t>
      </w:r>
      <w:r w:rsidR="00AE5073">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AE5073" w:rsidRDefault="002D4AB4" w:rsidP="00AE5073">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p>
    <w:p w:rsidR="005B741A" w:rsidRPr="00800D08" w:rsidRDefault="00AE5073" w:rsidP="00AB5386">
      <w:pPr>
        <w:spacing w:after="0"/>
        <w:jc w:val="center"/>
        <w:rPr>
          <w:rFonts w:asciiTheme="minorBidi" w:hAnsiTheme="minorBidi"/>
          <w:b/>
          <w:bCs/>
          <w:iCs/>
          <w:sz w:val="28"/>
          <w:szCs w:val="28"/>
        </w:rPr>
      </w:pPr>
      <w:r>
        <w:rPr>
          <w:rFonts w:asciiTheme="minorBidi" w:hAnsiTheme="minorBidi"/>
          <w:sz w:val="32"/>
          <w:szCs w:val="32"/>
          <w:highlight w:val="yellow"/>
        </w:rPr>
        <w:t xml:space="preserve">87 </w:t>
      </w:r>
      <w:r w:rsidR="00DE6F40">
        <w:rPr>
          <w:rFonts w:asciiTheme="minorBidi" w:hAnsiTheme="minorBidi"/>
          <w:sz w:val="32"/>
          <w:szCs w:val="32"/>
          <w:highlight w:val="yellow"/>
        </w:rPr>
        <w:t>/</w:t>
      </w:r>
      <w:r>
        <w:rPr>
          <w:rFonts w:asciiTheme="minorBidi" w:hAnsiTheme="minorBidi"/>
          <w:sz w:val="32"/>
          <w:szCs w:val="32"/>
          <w:highlight w:val="yellow"/>
        </w:rPr>
        <w:t>2023</w:t>
      </w:r>
      <w:r w:rsidR="00DE6F40">
        <w:rPr>
          <w:rFonts w:asciiTheme="minorBidi" w:hAnsiTheme="minorBidi"/>
          <w:sz w:val="32"/>
          <w:szCs w:val="32"/>
          <w:highlight w:val="yellow"/>
        </w:rPr>
        <w:t>/</w:t>
      </w:r>
      <w:r w:rsidR="00AB5386">
        <w:rPr>
          <w:rFonts w:asciiTheme="minorBidi" w:hAnsiTheme="minorBidi"/>
          <w:sz w:val="32"/>
          <w:szCs w:val="32"/>
          <w:highlight w:val="yellow"/>
        </w:rPr>
        <w:t>125</w:t>
      </w:r>
      <w:r>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AE5073">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AE5073">
        <w:rPr>
          <w:b/>
          <w:bCs/>
          <w:sz w:val="28"/>
          <w:szCs w:val="28"/>
          <w:lang w:bidi="ar-IQ"/>
        </w:rPr>
        <w:t xml:space="preserve">Cardiac </w:t>
      </w:r>
      <w:r w:rsidR="00AE5073"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D172C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D172C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D172C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D172C2">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54147F">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w:t>
      </w:r>
      <w:r w:rsidR="007C6012">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54147F">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19D1">
        <w:rPr>
          <w:rFonts w:asciiTheme="minorBidi" w:eastAsiaTheme="minorHAnsi" w:hAnsiTheme="minorBidi" w:cstheme="minorBidi"/>
          <w:sz w:val="28"/>
          <w:szCs w:val="28"/>
        </w:rPr>
        <w:t>21/4/2022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r>
        <w:t>www.</w:t>
      </w:r>
      <w:r w:rsidRPr="00B303DF">
        <w:t xml:space="preserve"> </w:t>
      </w:r>
      <w:r>
        <w:t>Kimadia.gov.iq</w:t>
      </w:r>
    </w:p>
    <w:p w:rsidR="006A1575" w:rsidRDefault="006A1575" w:rsidP="006A1575">
      <w:pPr>
        <w:bidi/>
        <w:spacing w:line="200" w:lineRule="exact"/>
        <w:ind w:left="-7" w:right="-360" w:firstLine="1919"/>
        <w:jc w:val="right"/>
      </w:pPr>
      <w:r>
        <w:t>dg@</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D172C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D172C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B538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7C6012">
              <w:rPr>
                <w:rFonts w:asciiTheme="minorBidi" w:hAnsiTheme="minorBidi"/>
                <w:sz w:val="28"/>
                <w:szCs w:val="28"/>
                <w:lang w:val="en-GB"/>
              </w:rPr>
              <w:t>87</w:t>
            </w:r>
            <w:r w:rsidR="00DE6F40">
              <w:rPr>
                <w:rFonts w:asciiTheme="minorBidi" w:hAnsiTheme="minorBidi"/>
                <w:b/>
                <w:bCs/>
                <w:sz w:val="28"/>
                <w:szCs w:val="28"/>
                <w:shd w:val="clear" w:color="auto" w:fill="FFFF00"/>
                <w:lang w:val="en-GB"/>
              </w:rPr>
              <w:t>/</w:t>
            </w:r>
            <w:r w:rsidR="007C6012">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AB5386">
              <w:rPr>
                <w:rFonts w:asciiTheme="minorBidi" w:hAnsiTheme="minorBidi"/>
                <w:b/>
                <w:bCs/>
                <w:sz w:val="28"/>
                <w:szCs w:val="28"/>
                <w:shd w:val="clear" w:color="auto" w:fill="FFFF00"/>
                <w:lang w:val="en-GB"/>
              </w:rPr>
              <w:t>123</w:t>
            </w:r>
            <w:r w:rsidR="007C6012">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BA7EF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01C5">
              <w:rPr>
                <w:rFonts w:asciiTheme="minorBidi" w:hAnsiTheme="minorBidi"/>
                <w:b/>
                <w:bCs/>
                <w:sz w:val="28"/>
                <w:szCs w:val="28"/>
                <w:shd w:val="clear" w:color="auto" w:fill="FFFF00"/>
                <w:lang w:val="en-GB"/>
              </w:rPr>
              <w:t>2</w:t>
            </w:r>
            <w:r w:rsidR="00BA7EFE">
              <w:rPr>
                <w:rFonts w:asciiTheme="minorBidi" w:hAnsiTheme="minorBidi"/>
                <w:b/>
                <w:bCs/>
                <w:sz w:val="28"/>
                <w:szCs w:val="28"/>
                <w:shd w:val="clear" w:color="auto" w:fill="FFFF00"/>
              </w:rPr>
              <w:t>7</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F01C5">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F01C5">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w:t>
            </w:r>
            <w:r w:rsidR="005F01C5">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F01C5">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F01C5">
              <w:rPr>
                <w:rFonts w:asciiTheme="minorBidi" w:hAnsiTheme="minorBidi"/>
                <w:sz w:val="28"/>
                <w:szCs w:val="28"/>
                <w:shd w:val="clear" w:color="auto" w:fill="FFFF00"/>
                <w:lang w:val="en-GB"/>
              </w:rPr>
              <w:t>31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w:t>
            </w:r>
            <w:r w:rsidRPr="00C20C3C">
              <w:rPr>
                <w:rFonts w:asciiTheme="minorBidi" w:eastAsiaTheme="minorHAnsi" w:hAnsiTheme="minorBidi" w:cstheme="minorBidi"/>
                <w:sz w:val="28"/>
                <w:szCs w:val="28"/>
                <w:highlight w:val="yellow"/>
                <w:lang w:val="en-GB"/>
              </w:rPr>
              <w:lastRenderedPageBreak/>
              <w:t>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w:t>
            </w:r>
            <w:r w:rsidRPr="00C20C3C">
              <w:rPr>
                <w:rFonts w:asciiTheme="minorBidi" w:hAnsiTheme="minorBidi"/>
                <w:sz w:val="28"/>
                <w:szCs w:val="28"/>
                <w:highlight w:val="yellow"/>
                <w:lang w:val="en-GB"/>
              </w:rPr>
              <w:lastRenderedPageBreak/>
              <w:t>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w:t>
            </w:r>
            <w:r w:rsidRPr="00BB765E">
              <w:rPr>
                <w:rFonts w:asciiTheme="minorBidi" w:hAnsiTheme="minorBidi"/>
                <w:sz w:val="28"/>
                <w:szCs w:val="28"/>
                <w:highlight w:val="yellow"/>
                <w:lang w:val="en-GB"/>
              </w:rPr>
              <w:lastRenderedPageBreak/>
              <w:t>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w:t>
            </w:r>
            <w:r w:rsidRPr="00BB765E">
              <w:rPr>
                <w:rFonts w:asciiTheme="minorBidi" w:hAnsiTheme="minorBidi"/>
                <w:sz w:val="28"/>
                <w:szCs w:val="28"/>
                <w:highlight w:val="yellow"/>
                <w:lang w:val="en-GB"/>
              </w:rPr>
              <w:lastRenderedPageBreak/>
              <w:t>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w:t>
            </w:r>
            <w:r w:rsidRPr="00BB765E">
              <w:rPr>
                <w:rFonts w:asciiTheme="minorBidi" w:hAnsiTheme="minorBidi"/>
                <w:sz w:val="28"/>
                <w:szCs w:val="28"/>
                <w:highlight w:val="yellow"/>
                <w:lang w:val="en-GB"/>
              </w:rPr>
              <w:lastRenderedPageBreak/>
              <w:t>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w:t>
            </w:r>
            <w:r w:rsidRPr="00BB765E">
              <w:rPr>
                <w:rFonts w:asciiTheme="minorBidi" w:hAnsiTheme="minorBidi"/>
                <w:sz w:val="28"/>
                <w:szCs w:val="28"/>
                <w:highlight w:val="yellow"/>
                <w:lang w:val="en-GB"/>
              </w:rPr>
              <w:lastRenderedPageBreak/>
              <w:t>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E84D4D" w:rsidRDefault="00B30368" w:rsidP="00AB5386">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w:t>
            </w:r>
            <w:r w:rsidR="00E84D4D">
              <w:rPr>
                <w:rFonts w:asciiTheme="minorBidi" w:hAnsiTheme="minorBidi"/>
                <w:sz w:val="28"/>
                <w:szCs w:val="28"/>
              </w:rPr>
              <w:t>87/2023/</w:t>
            </w:r>
            <w:r w:rsidR="00AB5386">
              <w:rPr>
                <w:rFonts w:asciiTheme="minorBidi" w:hAnsiTheme="minorBidi"/>
                <w:sz w:val="28"/>
                <w:szCs w:val="28"/>
              </w:rPr>
              <w:t>125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E84D4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84D4D">
              <w:rPr>
                <w:rFonts w:asciiTheme="majorHAnsi" w:hAnsiTheme="majorHAnsi"/>
                <w:b/>
                <w:bCs/>
              </w:rPr>
              <w:t>Cardiac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w:t>
            </w:r>
            <w:r w:rsidRPr="00AD25AB">
              <w:rPr>
                <w:rFonts w:asciiTheme="minorBidi" w:hAnsiTheme="minorBidi"/>
                <w:sz w:val="28"/>
                <w:szCs w:val="28"/>
                <w:lang w:val="en-GB"/>
              </w:rPr>
              <w:lastRenderedPageBreak/>
              <w:t>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5F01C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5F01C5">
              <w:rPr>
                <w:rFonts w:asciiTheme="minorBidi" w:hAnsiTheme="minorBidi"/>
                <w:sz w:val="28"/>
                <w:szCs w:val="28"/>
              </w:rPr>
              <w:t>3</w:t>
            </w:r>
            <w:r w:rsidR="00F937EA">
              <w:rPr>
                <w:rFonts w:asciiTheme="minorBidi" w:hAnsiTheme="minorBidi"/>
                <w:sz w:val="28"/>
                <w:szCs w:val="28"/>
              </w:rPr>
              <w:t>/</w:t>
            </w:r>
            <w:r w:rsidR="00E84D4D">
              <w:rPr>
                <w:rFonts w:asciiTheme="minorBidi" w:hAnsiTheme="minorBidi"/>
                <w:sz w:val="28"/>
                <w:szCs w:val="28"/>
              </w:rPr>
              <w:t>1</w:t>
            </w:r>
            <w:r w:rsidR="00F937EA">
              <w:rPr>
                <w:rFonts w:asciiTheme="minorBidi" w:hAnsiTheme="minorBidi"/>
                <w:sz w:val="28"/>
                <w:szCs w:val="28"/>
              </w:rPr>
              <w:t>/</w:t>
            </w:r>
            <w:r w:rsidR="00E84D4D">
              <w:rPr>
                <w:rFonts w:asciiTheme="minorBidi" w:hAnsiTheme="minorBidi"/>
                <w:sz w:val="28"/>
                <w:szCs w:val="28"/>
              </w:rPr>
              <w:t>202</w:t>
            </w:r>
            <w:r w:rsidR="005F01C5">
              <w:rPr>
                <w:rFonts w:asciiTheme="minorBidi" w:hAnsiTheme="minorBidi"/>
                <w:sz w:val="28"/>
                <w:szCs w:val="28"/>
              </w:rPr>
              <w:t>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84E1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84E19">
              <w:rPr>
                <w:rFonts w:asciiTheme="minorBidi" w:hAnsiTheme="minorBidi"/>
                <w:b/>
                <w:bCs/>
                <w:sz w:val="28"/>
                <w:szCs w:val="28"/>
                <w:lang w:val="en-GB"/>
              </w:rPr>
              <w:t>4</w:t>
            </w:r>
            <w:r w:rsidR="00E84D4D">
              <w:rPr>
                <w:rFonts w:asciiTheme="minorBidi" w:hAnsiTheme="minorBidi"/>
                <w:b/>
                <w:bCs/>
                <w:sz w:val="28"/>
                <w:szCs w:val="28"/>
                <w:lang w:val="en-GB"/>
              </w:rPr>
              <w:t>/1/202</w:t>
            </w:r>
            <w:r w:rsidR="00484E19">
              <w:rPr>
                <w:rFonts w:asciiTheme="minorBidi" w:hAnsiTheme="minorBidi"/>
                <w:b/>
                <w:bCs/>
                <w:sz w:val="28"/>
                <w:szCs w:val="28"/>
                <w:lang w:val="en-GB"/>
              </w:rPr>
              <w:t>4</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lastRenderedPageBreak/>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D172C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D172C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D172C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D172C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D172C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EA7F4D">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C84D0C" w:rsidRDefault="00895CA2" w:rsidP="00E84D4D">
      <w:pPr>
        <w:pStyle w:val="Head81"/>
        <w:jc w:val="left"/>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7"/>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tbl>
      <w:tblPr>
        <w:tblpPr w:leftFromText="180" w:rightFromText="180" w:vertAnchor="text" w:horzAnchor="margin" w:tblpY="421"/>
        <w:bidiVisual/>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
        <w:gridCol w:w="786"/>
        <w:gridCol w:w="795"/>
        <w:gridCol w:w="576"/>
        <w:gridCol w:w="2757"/>
        <w:gridCol w:w="3040"/>
        <w:gridCol w:w="686"/>
      </w:tblGrid>
      <w:tr w:rsidR="00B02FC8" w:rsidRPr="000B3AFD" w:rsidTr="00B02FC8">
        <w:trPr>
          <w:trHeight w:val="254"/>
        </w:trPr>
        <w:tc>
          <w:tcPr>
            <w:tcW w:w="969" w:type="dxa"/>
            <w:shd w:val="clear" w:color="auto" w:fill="auto"/>
          </w:tcPr>
          <w:p w:rsidR="00B02FC8" w:rsidRPr="000B3AFD" w:rsidRDefault="00B02FC8" w:rsidP="00B02FC8">
            <w:pPr>
              <w:rPr>
                <w:rFonts w:cs="Times New Roman"/>
                <w:sz w:val="18"/>
                <w:szCs w:val="18"/>
                <w:rtl/>
                <w:lang w:bidi="ar-IQ"/>
              </w:rPr>
            </w:pPr>
            <w:r>
              <w:rPr>
                <w:rFonts w:cs="Times New Roman" w:hint="cs"/>
                <w:sz w:val="18"/>
                <w:szCs w:val="18"/>
                <w:rtl/>
                <w:lang w:bidi="ar-IQ"/>
              </w:rPr>
              <w:lastRenderedPageBreak/>
              <w:t>المنشأ</w:t>
            </w:r>
          </w:p>
        </w:tc>
        <w:tc>
          <w:tcPr>
            <w:tcW w:w="786" w:type="dxa"/>
            <w:shd w:val="clear" w:color="auto" w:fill="auto"/>
          </w:tcPr>
          <w:p w:rsidR="00B02FC8" w:rsidRPr="000B3AFD" w:rsidRDefault="00B02FC8" w:rsidP="00B02FC8">
            <w:pPr>
              <w:rPr>
                <w:rFonts w:cs="Times New Roman"/>
                <w:sz w:val="18"/>
                <w:szCs w:val="18"/>
                <w:rtl/>
                <w:lang w:bidi="ar-IQ"/>
              </w:rPr>
            </w:pPr>
            <w:r w:rsidRPr="000B3AFD">
              <w:rPr>
                <w:rFonts w:cs="Times New Roman" w:hint="cs"/>
                <w:sz w:val="18"/>
                <w:szCs w:val="18"/>
                <w:rtl/>
                <w:lang w:bidi="ar-IQ"/>
              </w:rPr>
              <w:t>ال</w:t>
            </w:r>
            <w:r>
              <w:rPr>
                <w:rFonts w:cs="Times New Roman" w:hint="cs"/>
                <w:sz w:val="18"/>
                <w:szCs w:val="18"/>
                <w:rtl/>
                <w:lang w:bidi="ar-IQ"/>
              </w:rPr>
              <w:t xml:space="preserve">كلفة </w:t>
            </w:r>
            <w:r w:rsidRPr="000B3AFD">
              <w:rPr>
                <w:rFonts w:cs="Times New Roman" w:hint="cs"/>
                <w:sz w:val="18"/>
                <w:szCs w:val="18"/>
                <w:rtl/>
                <w:lang w:bidi="ar-IQ"/>
              </w:rPr>
              <w:t xml:space="preserve"> </w:t>
            </w:r>
          </w:p>
        </w:tc>
        <w:tc>
          <w:tcPr>
            <w:tcW w:w="795" w:type="dxa"/>
            <w:shd w:val="clear" w:color="auto" w:fill="auto"/>
          </w:tcPr>
          <w:p w:rsidR="00B02FC8" w:rsidRPr="000B3AFD" w:rsidRDefault="00B02FC8" w:rsidP="00B02FC8">
            <w:pPr>
              <w:rPr>
                <w:rFonts w:cs="Times New Roman"/>
                <w:sz w:val="18"/>
                <w:szCs w:val="18"/>
                <w:rtl/>
                <w:lang w:bidi="ar-IQ"/>
              </w:rPr>
            </w:pPr>
            <w:r>
              <w:rPr>
                <w:rFonts w:cs="Times New Roman" w:hint="cs"/>
                <w:sz w:val="18"/>
                <w:szCs w:val="18"/>
                <w:rtl/>
                <w:lang w:bidi="ar-IQ"/>
              </w:rPr>
              <w:t xml:space="preserve">الكمية </w:t>
            </w:r>
          </w:p>
        </w:tc>
        <w:tc>
          <w:tcPr>
            <w:tcW w:w="576" w:type="dxa"/>
            <w:shd w:val="clear" w:color="auto" w:fill="auto"/>
          </w:tcPr>
          <w:p w:rsidR="00B02FC8" w:rsidRPr="000B3AFD" w:rsidRDefault="00B02FC8" w:rsidP="00B02FC8">
            <w:pPr>
              <w:rPr>
                <w:rFonts w:cs="Times New Roman" w:hint="cs"/>
                <w:sz w:val="18"/>
                <w:szCs w:val="18"/>
                <w:rtl/>
                <w:lang w:bidi="ar-IQ"/>
              </w:rPr>
            </w:pPr>
            <w:r>
              <w:rPr>
                <w:rFonts w:cs="Times New Roman" w:hint="cs"/>
                <w:sz w:val="18"/>
                <w:szCs w:val="18"/>
                <w:rtl/>
                <w:lang w:bidi="ar-IQ"/>
              </w:rPr>
              <w:t xml:space="preserve">وحدة القياس </w:t>
            </w:r>
          </w:p>
        </w:tc>
        <w:tc>
          <w:tcPr>
            <w:tcW w:w="2757" w:type="dxa"/>
            <w:shd w:val="clear" w:color="auto" w:fill="auto"/>
          </w:tcPr>
          <w:p w:rsidR="00B02FC8" w:rsidRPr="000B3AFD" w:rsidRDefault="00B02FC8" w:rsidP="00B02FC8">
            <w:pPr>
              <w:rPr>
                <w:rFonts w:cs="Times New Roman"/>
                <w:sz w:val="18"/>
                <w:szCs w:val="18"/>
                <w:rtl/>
                <w:lang w:bidi="ar-IQ"/>
              </w:rPr>
            </w:pPr>
            <w:r w:rsidRPr="000B3AFD">
              <w:rPr>
                <w:rFonts w:cs="Times New Roman" w:hint="cs"/>
                <w:sz w:val="18"/>
                <w:szCs w:val="18"/>
                <w:rtl/>
                <w:lang w:bidi="ar-IQ"/>
              </w:rPr>
              <w:t>المادة</w:t>
            </w:r>
          </w:p>
        </w:tc>
        <w:tc>
          <w:tcPr>
            <w:tcW w:w="3040" w:type="dxa"/>
            <w:shd w:val="clear" w:color="auto" w:fill="auto"/>
          </w:tcPr>
          <w:p w:rsidR="00B02FC8" w:rsidRPr="000B3AFD" w:rsidRDefault="00B02FC8" w:rsidP="00B02FC8">
            <w:pPr>
              <w:jc w:val="right"/>
              <w:rPr>
                <w:rFonts w:cs="Times New Roman"/>
                <w:sz w:val="18"/>
                <w:szCs w:val="18"/>
                <w:rtl/>
                <w:lang w:bidi="ar-IQ"/>
              </w:rPr>
            </w:pPr>
            <w:r w:rsidRPr="000B3AFD">
              <w:rPr>
                <w:rFonts w:cs="Times New Roman" w:hint="cs"/>
                <w:sz w:val="18"/>
                <w:szCs w:val="18"/>
                <w:rtl/>
                <w:lang w:bidi="ar-IQ"/>
              </w:rPr>
              <w:t>الرمز الوطني</w:t>
            </w:r>
          </w:p>
        </w:tc>
        <w:tc>
          <w:tcPr>
            <w:tcW w:w="686" w:type="dxa"/>
          </w:tcPr>
          <w:p w:rsidR="00B02FC8" w:rsidRPr="000B3AFD" w:rsidRDefault="00B02FC8" w:rsidP="00B02FC8">
            <w:pPr>
              <w:jc w:val="center"/>
              <w:rPr>
                <w:rFonts w:cs="Times New Roman"/>
                <w:sz w:val="18"/>
                <w:szCs w:val="18"/>
                <w:rtl/>
                <w:lang w:bidi="ar-IQ"/>
              </w:rPr>
            </w:pPr>
            <w:r>
              <w:rPr>
                <w:rFonts w:cs="Times New Roman" w:hint="cs"/>
                <w:sz w:val="18"/>
                <w:szCs w:val="18"/>
                <w:rtl/>
                <w:lang w:bidi="ar-IQ"/>
              </w:rPr>
              <w:t>ت</w:t>
            </w:r>
          </w:p>
        </w:tc>
      </w:tr>
      <w:tr w:rsidR="00B02FC8" w:rsidRPr="000B3AFD" w:rsidTr="00B02FC8">
        <w:trPr>
          <w:trHeight w:val="637"/>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315</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p>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Pr="000B3AFD" w:rsidRDefault="00B02FC8" w:rsidP="00B02FC8">
            <w:pPr>
              <w:jc w:val="cente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p>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5-4 mm</w:t>
            </w:r>
          </w:p>
          <w:p w:rsidR="00B02FC8" w:rsidRPr="000B3AFD" w:rsidRDefault="00B02FC8" w:rsidP="00B02FC8">
            <w:pPr>
              <w:jc w:val="cente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CAT-DE00-173a</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1</w:t>
            </w:r>
          </w:p>
        </w:tc>
      </w:tr>
      <w:tr w:rsidR="00B02FC8" w:rsidRPr="000B3AFD" w:rsidTr="00B02FC8">
        <w:trPr>
          <w:trHeight w:val="230"/>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465</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p>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6-4 mm</w:t>
            </w:r>
          </w:p>
          <w:p w:rsidR="00B02FC8" w:rsidRPr="000B3AFD" w:rsidRDefault="00B02FC8" w:rsidP="00B02FC8">
            <w:pP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CAT-DE00-173b</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2</w:t>
            </w:r>
          </w:p>
        </w:tc>
      </w:tr>
      <w:tr w:rsidR="00B02FC8" w:rsidRPr="000B3AFD" w:rsidTr="00B02FC8">
        <w:trPr>
          <w:trHeight w:val="230"/>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1034</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8-6 mm</w:t>
            </w:r>
          </w:p>
          <w:p w:rsidR="00B02FC8" w:rsidRPr="000B3AFD"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CAT-DE00-173c</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3</w:t>
            </w:r>
          </w:p>
        </w:tc>
      </w:tr>
      <w:tr w:rsidR="00B02FC8" w:rsidRPr="000B3AFD" w:rsidTr="00B02FC8">
        <w:trPr>
          <w:trHeight w:val="230"/>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608</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10-8 mm</w:t>
            </w:r>
          </w:p>
          <w:p w:rsidR="00B02FC8" w:rsidRPr="000B3AFD"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CAT-DE00-173d</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4</w:t>
            </w:r>
          </w:p>
        </w:tc>
      </w:tr>
      <w:tr w:rsidR="00B02FC8" w:rsidRPr="000B3AFD" w:rsidTr="00B02FC8">
        <w:trPr>
          <w:trHeight w:val="230"/>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740</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12-10mm</w:t>
            </w:r>
          </w:p>
          <w:p w:rsidR="00B02FC8" w:rsidRPr="000B3AFD" w:rsidRDefault="00B02FC8" w:rsidP="00B02FC8">
            <w:pPr>
              <w:rPr>
                <w:rFonts w:cs="Calibri"/>
                <w:b/>
                <w:bCs/>
                <w:color w:val="000000"/>
                <w:sz w:val="18"/>
                <w:szCs w:val="18"/>
              </w:rPr>
            </w:pPr>
          </w:p>
          <w:p w:rsidR="00B02FC8" w:rsidRPr="000B3AFD" w:rsidRDefault="00B02FC8" w:rsidP="00B02FC8">
            <w:pP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CAT-DE00-173e</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5</w:t>
            </w:r>
          </w:p>
        </w:tc>
      </w:tr>
      <w:tr w:rsidR="00B02FC8" w:rsidRPr="000B3AFD" w:rsidTr="00B02FC8">
        <w:trPr>
          <w:trHeight w:val="230"/>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661</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p>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Pr="000B3AFD" w:rsidRDefault="00B02FC8" w:rsidP="00B02FC8">
            <w:pP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p>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14-12 mm</w:t>
            </w:r>
          </w:p>
          <w:p w:rsidR="00B02FC8" w:rsidRPr="000B3AFD" w:rsidRDefault="00B02FC8" w:rsidP="00B02FC8">
            <w:pP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CAT-DE00-173f</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6</w:t>
            </w:r>
          </w:p>
        </w:tc>
      </w:tr>
      <w:tr w:rsidR="00B02FC8" w:rsidRPr="000B3AFD" w:rsidTr="00B02FC8">
        <w:trPr>
          <w:trHeight w:val="230"/>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436</w:t>
            </w:r>
          </w:p>
          <w:p w:rsidR="00B02FC8" w:rsidRPr="000B3AFD" w:rsidRDefault="00B02FC8" w:rsidP="00B02FC8">
            <w:pPr>
              <w:rPr>
                <w:rFonts w:cs="Times New Roman"/>
                <w:sz w:val="18"/>
                <w:szCs w:val="18"/>
                <w:rtl/>
                <w:lang w:bidi="ar-IQ"/>
              </w:rPr>
            </w:pPr>
          </w:p>
        </w:tc>
        <w:tc>
          <w:tcPr>
            <w:tcW w:w="576" w:type="dxa"/>
            <w:shd w:val="clear" w:color="auto" w:fill="auto"/>
          </w:tcPr>
          <w:p w:rsidR="00B02FC8" w:rsidRDefault="00B02FC8" w:rsidP="00B02FC8">
            <w:pPr>
              <w:rPr>
                <w:rFonts w:cs="Calibri"/>
                <w:b/>
                <w:bCs/>
                <w:color w:val="000000"/>
                <w:sz w:val="18"/>
                <w:szCs w:val="18"/>
              </w:rPr>
            </w:pPr>
          </w:p>
          <w:p w:rsidR="00B02FC8" w:rsidRDefault="00B02FC8" w:rsidP="00B02FC8">
            <w:pPr>
              <w:rPr>
                <w:rFonts w:cs="Calibri"/>
                <w:b/>
                <w:bCs/>
                <w:color w:val="000000"/>
                <w:sz w:val="18"/>
                <w:szCs w:val="18"/>
              </w:rPr>
            </w:pPr>
            <w:r>
              <w:rPr>
                <w:rFonts w:cs="Calibri"/>
                <w:b/>
                <w:bCs/>
                <w:color w:val="000000"/>
                <w:sz w:val="18"/>
                <w:szCs w:val="18"/>
              </w:rPr>
              <w:t xml:space="preserve">Pcs </w:t>
            </w:r>
          </w:p>
          <w:p w:rsidR="00B02FC8" w:rsidRPr="000B3AFD" w:rsidRDefault="00B02FC8" w:rsidP="00B02FC8">
            <w:pPr>
              <w:rPr>
                <w:rFonts w:cs="Times New Roman"/>
                <w:sz w:val="18"/>
                <w:szCs w:val="18"/>
                <w:rtl/>
                <w:lang w:bidi="ar-IQ"/>
              </w:rPr>
            </w:pPr>
          </w:p>
        </w:tc>
        <w:tc>
          <w:tcPr>
            <w:tcW w:w="2757" w:type="dxa"/>
            <w:shd w:val="clear" w:color="auto" w:fill="auto"/>
          </w:tcPr>
          <w:p w:rsidR="00B02FC8" w:rsidRPr="000B3AFD" w:rsidRDefault="00B02FC8" w:rsidP="00B02FC8">
            <w:pPr>
              <w:rPr>
                <w:rFonts w:cs="Calibri"/>
                <w:b/>
                <w:bCs/>
                <w:color w:val="000000"/>
                <w:sz w:val="18"/>
                <w:szCs w:val="18"/>
              </w:rPr>
            </w:pPr>
          </w:p>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16-12mm</w:t>
            </w:r>
          </w:p>
          <w:p w:rsidR="00B02FC8" w:rsidRPr="000B3AFD" w:rsidRDefault="00B02FC8" w:rsidP="00B02FC8">
            <w:pPr>
              <w:rPr>
                <w:rFonts w:cs="Times New Roman"/>
                <w:sz w:val="18"/>
                <w:szCs w:val="18"/>
                <w:rtl/>
                <w:lang w:bidi="ar-IQ"/>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CAT-DE00-173g</w:t>
            </w:r>
          </w:p>
          <w:p w:rsidR="00B02FC8" w:rsidRPr="000B3AFD" w:rsidRDefault="00B02FC8" w:rsidP="00B02FC8">
            <w:pPr>
              <w:rPr>
                <w:rFonts w:cs="Times New Roman"/>
                <w:sz w:val="18"/>
                <w:szCs w:val="18"/>
                <w:rtl/>
                <w:lang w:bidi="ar-IQ"/>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7</w:t>
            </w:r>
          </w:p>
        </w:tc>
      </w:tr>
      <w:tr w:rsidR="00B02FC8" w:rsidRPr="000B3AFD" w:rsidTr="00B02FC8">
        <w:trPr>
          <w:trHeight w:val="403"/>
        </w:trPr>
        <w:tc>
          <w:tcPr>
            <w:tcW w:w="969" w:type="dxa"/>
            <w:shd w:val="clear" w:color="auto" w:fill="auto"/>
          </w:tcPr>
          <w:p w:rsidR="00B02FC8" w:rsidRPr="00C14A60" w:rsidRDefault="00B02FC8" w:rsidP="00B02FC8">
            <w:pPr>
              <w:rPr>
                <w:rFonts w:cs="Times New Roman"/>
                <w:b/>
                <w:bCs/>
                <w:sz w:val="18"/>
                <w:szCs w:val="18"/>
                <w:lang w:bidi="ar-IQ"/>
              </w:rPr>
            </w:pPr>
            <w:r w:rsidRPr="00C14A60">
              <w:rPr>
                <w:rFonts w:cs="Times New Roman"/>
                <w:b/>
                <w:bCs/>
                <w:sz w:val="18"/>
                <w:szCs w:val="18"/>
                <w:lang w:bidi="ar-IQ"/>
              </w:rPr>
              <w:t>Irelan</w:t>
            </w:r>
          </w:p>
          <w:p w:rsidR="00B02FC8" w:rsidRPr="00C14A60" w:rsidRDefault="00B02FC8" w:rsidP="00B02FC8">
            <w:pPr>
              <w:rPr>
                <w:rFonts w:cs="Times New Roman"/>
                <w:b/>
                <w:bCs/>
                <w:sz w:val="18"/>
                <w:szCs w:val="18"/>
                <w:lang w:bidi="ar-IQ"/>
              </w:rPr>
            </w:pPr>
          </w:p>
        </w:tc>
        <w:tc>
          <w:tcPr>
            <w:tcW w:w="786" w:type="dxa"/>
            <w:shd w:val="clear" w:color="auto" w:fill="auto"/>
          </w:tcPr>
          <w:p w:rsidR="00B02FC8" w:rsidRPr="00C14A60" w:rsidRDefault="00B02FC8" w:rsidP="00B02FC8">
            <w:pPr>
              <w:rPr>
                <w:rFonts w:cs="Times New Roman"/>
                <w:b/>
                <w:bCs/>
                <w:sz w:val="18"/>
                <w:szCs w:val="18"/>
                <w:rtl/>
                <w:lang w:bidi="ar-IQ"/>
              </w:rPr>
            </w:pPr>
            <w:r w:rsidRPr="00C14A60">
              <w:rPr>
                <w:rFonts w:cs="Times New Roman"/>
                <w:b/>
                <w:bCs/>
                <w:sz w:val="18"/>
                <w:szCs w:val="18"/>
                <w:lang w:bidi="ar-IQ"/>
              </w:rPr>
              <w:t>2340.8</w:t>
            </w:r>
          </w:p>
        </w:tc>
        <w:tc>
          <w:tcPr>
            <w:tcW w:w="795" w:type="dxa"/>
            <w:shd w:val="clear" w:color="auto" w:fill="auto"/>
          </w:tcPr>
          <w:p w:rsidR="00B02FC8" w:rsidRDefault="00B02FC8" w:rsidP="00B02FC8">
            <w:pPr>
              <w:spacing w:after="0" w:line="240" w:lineRule="auto"/>
              <w:rPr>
                <w:rFonts w:eastAsia="Times New Roman" w:cs="Calibri"/>
                <w:b/>
                <w:bCs/>
                <w:color w:val="000000"/>
              </w:rPr>
            </w:pPr>
            <w:r>
              <w:rPr>
                <w:rFonts w:cs="Calibri"/>
                <w:b/>
                <w:bCs/>
                <w:color w:val="000000"/>
              </w:rPr>
              <w:t>122</w:t>
            </w:r>
          </w:p>
          <w:p w:rsidR="00B02FC8" w:rsidRPr="000B3AFD" w:rsidRDefault="00B02FC8" w:rsidP="00B02FC8">
            <w:pPr>
              <w:rPr>
                <w:rFonts w:cs="Calibri"/>
                <w:b/>
                <w:bCs/>
                <w:color w:val="000000"/>
                <w:sz w:val="18"/>
                <w:szCs w:val="18"/>
              </w:rPr>
            </w:pPr>
          </w:p>
        </w:tc>
        <w:tc>
          <w:tcPr>
            <w:tcW w:w="576" w:type="dxa"/>
            <w:shd w:val="clear" w:color="auto" w:fill="auto"/>
          </w:tcPr>
          <w:p w:rsidR="00B02FC8" w:rsidRDefault="00B02FC8" w:rsidP="00B02FC8">
            <w:pPr>
              <w:rPr>
                <w:rFonts w:cs="Calibri"/>
                <w:b/>
                <w:bCs/>
                <w:color w:val="000000"/>
                <w:sz w:val="18"/>
                <w:szCs w:val="18"/>
              </w:rPr>
            </w:pPr>
          </w:p>
          <w:p w:rsidR="00B02FC8" w:rsidRDefault="00B02FC8" w:rsidP="00B02FC8">
            <w:pPr>
              <w:rPr>
                <w:rFonts w:cs="Calibri"/>
                <w:b/>
                <w:bCs/>
                <w:color w:val="000000"/>
                <w:sz w:val="18"/>
                <w:szCs w:val="18"/>
              </w:rPr>
            </w:pPr>
            <w:r>
              <w:rPr>
                <w:rFonts w:cs="Calibri"/>
                <w:b/>
                <w:bCs/>
                <w:color w:val="000000"/>
                <w:sz w:val="18"/>
                <w:szCs w:val="18"/>
              </w:rPr>
              <w:t xml:space="preserve">Pcs </w:t>
            </w:r>
            <w:bookmarkStart w:id="137" w:name="_GoBack"/>
            <w:bookmarkEnd w:id="137"/>
          </w:p>
          <w:p w:rsidR="00B02FC8" w:rsidRPr="000B3AFD" w:rsidRDefault="00B02FC8" w:rsidP="00B02FC8">
            <w:pPr>
              <w:rPr>
                <w:rFonts w:cs="Calibri"/>
                <w:b/>
                <w:bCs/>
                <w:color w:val="000000"/>
                <w:sz w:val="18"/>
                <w:szCs w:val="18"/>
              </w:rPr>
            </w:pPr>
          </w:p>
        </w:tc>
        <w:tc>
          <w:tcPr>
            <w:tcW w:w="2757" w:type="dxa"/>
            <w:shd w:val="clear" w:color="auto" w:fill="auto"/>
          </w:tcPr>
          <w:p w:rsidR="00B02FC8" w:rsidRPr="000B3AFD" w:rsidRDefault="00B02FC8" w:rsidP="00B02FC8">
            <w:pPr>
              <w:rPr>
                <w:rFonts w:cs="Calibri"/>
                <w:b/>
                <w:bCs/>
                <w:color w:val="000000"/>
                <w:sz w:val="18"/>
                <w:szCs w:val="18"/>
              </w:rPr>
            </w:pPr>
          </w:p>
          <w:p w:rsidR="00B02FC8" w:rsidRPr="000B3AFD" w:rsidRDefault="00B02FC8" w:rsidP="00B02FC8">
            <w:pPr>
              <w:rPr>
                <w:rFonts w:cs="Calibri"/>
                <w:b/>
                <w:bCs/>
                <w:color w:val="000000"/>
                <w:sz w:val="18"/>
                <w:szCs w:val="18"/>
              </w:rPr>
            </w:pPr>
            <w:r w:rsidRPr="000B3AFD">
              <w:rPr>
                <w:rFonts w:cs="Calibri"/>
                <w:b/>
                <w:bCs/>
                <w:color w:val="000000"/>
                <w:sz w:val="18"/>
                <w:szCs w:val="18"/>
              </w:rPr>
              <w:t>PDA closing device 18-16 mm</w:t>
            </w:r>
          </w:p>
          <w:p w:rsidR="00B02FC8" w:rsidRPr="000B3AFD" w:rsidRDefault="00B02FC8" w:rsidP="00B02FC8">
            <w:pPr>
              <w:rPr>
                <w:rFonts w:cs="Calibri"/>
                <w:b/>
                <w:bCs/>
                <w:color w:val="000000"/>
                <w:sz w:val="18"/>
                <w:szCs w:val="18"/>
              </w:rPr>
            </w:pPr>
          </w:p>
        </w:tc>
        <w:tc>
          <w:tcPr>
            <w:tcW w:w="3040" w:type="dxa"/>
            <w:shd w:val="clear" w:color="auto" w:fill="auto"/>
          </w:tcPr>
          <w:p w:rsidR="00B02FC8" w:rsidRPr="000B3AFD" w:rsidRDefault="00B02FC8" w:rsidP="00B02FC8">
            <w:pPr>
              <w:rPr>
                <w:rFonts w:cs="Calibri"/>
                <w:b/>
                <w:bCs/>
                <w:color w:val="000000"/>
                <w:sz w:val="18"/>
                <w:szCs w:val="18"/>
              </w:rPr>
            </w:pPr>
            <w:r w:rsidRPr="000B3AFD">
              <w:rPr>
                <w:rFonts w:cs="Calibri"/>
                <w:b/>
                <w:bCs/>
                <w:color w:val="000000"/>
                <w:sz w:val="18"/>
                <w:szCs w:val="18"/>
              </w:rPr>
              <w:t>CAT-DE00-173h</w:t>
            </w:r>
          </w:p>
          <w:p w:rsidR="00B02FC8" w:rsidRPr="000B3AFD" w:rsidRDefault="00B02FC8" w:rsidP="00B02FC8">
            <w:pPr>
              <w:rPr>
                <w:rFonts w:cs="Calibri"/>
                <w:b/>
                <w:bCs/>
                <w:color w:val="000000"/>
                <w:sz w:val="18"/>
                <w:szCs w:val="18"/>
              </w:rPr>
            </w:pPr>
          </w:p>
        </w:tc>
        <w:tc>
          <w:tcPr>
            <w:tcW w:w="686" w:type="dxa"/>
          </w:tcPr>
          <w:p w:rsidR="00B02FC8" w:rsidRPr="000B3AFD" w:rsidRDefault="00B02FC8" w:rsidP="00B02FC8">
            <w:pPr>
              <w:rPr>
                <w:rFonts w:cs="Calibri"/>
                <w:b/>
                <w:bCs/>
                <w:color w:val="000000"/>
                <w:sz w:val="18"/>
                <w:szCs w:val="18"/>
              </w:rPr>
            </w:pPr>
            <w:r>
              <w:rPr>
                <w:rFonts w:cs="Calibri" w:hint="cs"/>
                <w:b/>
                <w:bCs/>
                <w:color w:val="000000"/>
                <w:sz w:val="18"/>
                <w:szCs w:val="18"/>
                <w:rtl/>
              </w:rPr>
              <w:t>8</w:t>
            </w:r>
          </w:p>
        </w:tc>
      </w:tr>
    </w:tbl>
    <w:p w:rsidR="00484E19" w:rsidRDefault="00484E19" w:rsidP="00851780">
      <w:pPr>
        <w:spacing w:after="0"/>
        <w:rPr>
          <w:rFonts w:asciiTheme="minorBidi" w:hAnsiTheme="minorBidi"/>
          <w:b/>
          <w:bCs/>
          <w:sz w:val="32"/>
          <w:szCs w:val="32"/>
        </w:rPr>
      </w:pPr>
    </w:p>
    <w:p w:rsidR="00AB5386" w:rsidRDefault="00AB5386" w:rsidP="00851780">
      <w:pPr>
        <w:spacing w:after="0"/>
        <w:rPr>
          <w:rFonts w:asciiTheme="minorBidi" w:hAnsiTheme="minorBidi"/>
          <w:b/>
          <w:bCs/>
          <w:sz w:val="32"/>
          <w:szCs w:val="32"/>
        </w:rPr>
      </w:pPr>
    </w:p>
    <w:p w:rsidR="00AB5386" w:rsidRDefault="00AB5386" w:rsidP="00851780">
      <w:pPr>
        <w:spacing w:after="0"/>
        <w:rPr>
          <w:rFonts w:asciiTheme="minorBidi" w:hAnsiTheme="minorBidi"/>
          <w:b/>
          <w:bCs/>
          <w:sz w:val="32"/>
          <w:szCs w:val="32"/>
        </w:rPr>
      </w:pPr>
    </w:p>
    <w:p w:rsidR="00AB5386" w:rsidRDefault="00AB5386" w:rsidP="00851780">
      <w:pPr>
        <w:spacing w:after="0"/>
        <w:rPr>
          <w:rFonts w:asciiTheme="minorBidi" w:hAnsiTheme="minorBidi"/>
          <w:b/>
          <w:bCs/>
          <w:sz w:val="32"/>
          <w:szCs w:val="32"/>
        </w:rPr>
      </w:pPr>
    </w:p>
    <w:p w:rsidR="00AB5386" w:rsidRDefault="00AB5386" w:rsidP="00851780">
      <w:pPr>
        <w:spacing w:after="0"/>
        <w:rPr>
          <w:rFonts w:asciiTheme="minorBidi" w:hAnsiTheme="minorBidi"/>
          <w:b/>
          <w:bCs/>
          <w:sz w:val="32"/>
          <w:szCs w:val="32"/>
        </w:rPr>
      </w:pPr>
    </w:p>
    <w:p w:rsidR="00AB5386" w:rsidRDefault="00AB5386"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Pr="001165AA" w:rsidRDefault="00C45A98"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6918B1" w:rsidP="006918B1">
      <w:pPr>
        <w:pStyle w:val="Part1"/>
        <w:tabs>
          <w:tab w:val="left" w:pos="3900"/>
        </w:tabs>
        <w:spacing w:before="240" w:after="0"/>
        <w:jc w:val="left"/>
        <w:rPr>
          <w:rFonts w:asciiTheme="minorBidi" w:hAnsiTheme="minorBidi" w:cstheme="minorBidi"/>
          <w:sz w:val="44"/>
          <w:szCs w:val="44"/>
          <w:lang w:val="en-GB"/>
        </w:rPr>
      </w:pPr>
      <w:r>
        <w:rPr>
          <w:rFonts w:asciiTheme="minorBidi" w:hAnsiTheme="minorBidi" w:cstheme="minorBidi"/>
          <w:sz w:val="44"/>
          <w:szCs w:val="44"/>
          <w:lang w:val="en-GB"/>
        </w:rPr>
        <w:lastRenderedPageBreak/>
        <w:tab/>
      </w: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D172C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w:t>
            </w:r>
            <w:r w:rsidRPr="00AB30CE">
              <w:rPr>
                <w:rFonts w:asciiTheme="majorBidi" w:hAnsiTheme="majorBidi" w:cstheme="majorBidi"/>
                <w:sz w:val="24"/>
                <w:szCs w:val="24"/>
              </w:rPr>
              <w:lastRenderedPageBreak/>
              <w:t>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(d) If the amendment does not result in a major modification to </w:t>
            </w:r>
            <w:r w:rsidRPr="00AB30CE">
              <w:rPr>
                <w:rFonts w:asciiTheme="majorBidi" w:hAnsiTheme="majorBidi" w:cstheme="majorBidi"/>
                <w:sz w:val="24"/>
                <w:szCs w:val="24"/>
              </w:rPr>
              <w:lastRenderedPageBreak/>
              <w:t>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w:t>
            </w:r>
            <w:r w:rsidRPr="00AB30CE">
              <w:rPr>
                <w:rFonts w:asciiTheme="majorBidi" w:hAnsiTheme="majorBidi" w:cstheme="majorBidi"/>
                <w:sz w:val="24"/>
                <w:szCs w:val="24"/>
              </w:rPr>
              <w:lastRenderedPageBreak/>
              <w:t>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D172C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D172C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D172C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D172C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D172C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D172C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D172C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D172C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D172C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D172C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D172C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D172C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D172C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Kimadia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D172C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D172C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D172C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D172C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conditions </w:t>
            </w:r>
            <w:r w:rsidR="00DE39C1">
              <w:rPr>
                <w:sz w:val="28"/>
                <w:szCs w:val="28"/>
                <w:highlight w:val="yellow"/>
                <w:lang w:val="en-GB"/>
              </w:rPr>
              <w:t>.</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D172C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99A" w:rsidRDefault="006A299A" w:rsidP="00C10F59">
      <w:pPr>
        <w:spacing w:after="0" w:line="240" w:lineRule="auto"/>
      </w:pPr>
      <w:r>
        <w:separator/>
      </w:r>
    </w:p>
  </w:endnote>
  <w:endnote w:type="continuationSeparator" w:id="0">
    <w:p w:rsidR="006A299A" w:rsidRDefault="006A299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AB538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 </w:t>
    </w:r>
    <w:r w:rsidR="00AB5386">
      <w:rPr>
        <w:rFonts w:asciiTheme="majorHAnsi" w:hAnsiTheme="majorHAnsi"/>
        <w:b/>
        <w:bCs/>
      </w:rPr>
      <w:t>125</w:t>
    </w:r>
    <w:r>
      <w:rPr>
        <w:b/>
        <w:bCs/>
        <w:sz w:val="28"/>
        <w:szCs w:val="28"/>
        <w:lang w:bidi="ar-IQ"/>
      </w:rPr>
      <w:t xml:space="preserve">Cardiac </w:t>
    </w:r>
    <w:r w:rsidRPr="00761D75">
      <w:rPr>
        <w:rFonts w:asciiTheme="majorHAnsi" w:hAnsiTheme="majorHAnsi"/>
        <w:b/>
        <w:bCs/>
        <w:sz w:val="28"/>
        <w:szCs w:val="28"/>
      </w:rPr>
      <w:t>Appliances</w:t>
    </w:r>
  </w:p>
  <w:p w:rsidR="0054147F" w:rsidRDefault="0054147F"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4147F" w:rsidRPr="009E776D" w:rsidRDefault="0054147F" w:rsidP="006C6237">
    <w:pPr>
      <w:spacing w:after="0"/>
      <w:rPr>
        <w:rFonts w:asciiTheme="majorHAnsi" w:hAnsiTheme="majorHAnsi"/>
      </w:rPr>
    </w:pPr>
    <w:r w:rsidRPr="009E776D">
      <w:rPr>
        <w:rFonts w:asciiTheme="majorHAnsi" w:hAnsiTheme="majorHAnsi"/>
      </w:rPr>
      <w:t>Drugs Medical Appliances (kimadia )</w:t>
    </w:r>
  </w:p>
  <w:p w:rsidR="0054147F" w:rsidRDefault="005414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AB538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00AB5386">
      <w:rPr>
        <w:rFonts w:asciiTheme="majorHAnsi" w:hAnsiTheme="majorHAnsi"/>
        <w:b/>
        <w:bCs/>
      </w:rPr>
      <w:t>125</w:t>
    </w:r>
    <w:r>
      <w:rPr>
        <w:rFonts w:asciiTheme="majorHAnsi" w:hAnsiTheme="majorHAnsi"/>
        <w:b/>
        <w:bCs/>
      </w:rPr>
      <w:t xml:space="preserve"> Appliances</w:t>
    </w:r>
  </w:p>
  <w:p w:rsidR="0054147F" w:rsidRDefault="0054147F"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4147F" w:rsidRPr="009E776D" w:rsidRDefault="0054147F" w:rsidP="009E776D">
    <w:pPr>
      <w:spacing w:after="0"/>
      <w:rPr>
        <w:rFonts w:asciiTheme="majorHAnsi" w:hAnsiTheme="majorHAnsi"/>
      </w:rPr>
    </w:pPr>
    <w:r w:rsidRPr="009E776D">
      <w:rPr>
        <w:rFonts w:asciiTheme="majorHAnsi" w:hAnsiTheme="majorHAnsi"/>
      </w:rPr>
      <w:t>Drugs Medical Appliances (kimadia )</w:t>
    </w:r>
  </w:p>
  <w:p w:rsidR="0054147F" w:rsidRDefault="0054147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02FC8" w:rsidRPr="00B02FC8">
      <w:rPr>
        <w:rFonts w:asciiTheme="majorHAnsi" w:hAnsiTheme="majorHAnsi"/>
        <w:noProof/>
      </w:rPr>
      <w:t>126</w:t>
    </w:r>
    <w:r>
      <w:rPr>
        <w:rFonts w:asciiTheme="majorHAnsi" w:hAnsiTheme="majorHAnsi"/>
        <w:noProof/>
      </w:rPr>
      <w:fldChar w:fldCharType="end"/>
    </w:r>
  </w:p>
  <w:p w:rsidR="0054147F" w:rsidRDefault="005414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99A" w:rsidRDefault="006A299A" w:rsidP="00C10F59">
      <w:pPr>
        <w:spacing w:after="0" w:line="240" w:lineRule="auto"/>
      </w:pPr>
      <w:r>
        <w:separator/>
      </w:r>
    </w:p>
  </w:footnote>
  <w:footnote w:type="continuationSeparator" w:id="0">
    <w:p w:rsidR="006A299A" w:rsidRDefault="006A299A"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02FC8">
      <w:rPr>
        <w:rStyle w:val="PageNumber"/>
        <w:noProof/>
      </w:rPr>
      <w:t>61</w:t>
    </w:r>
    <w:r>
      <w:rPr>
        <w:rStyle w:val="PageNumber"/>
      </w:rPr>
      <w:fldChar w:fldCharType="end"/>
    </w:r>
  </w:p>
  <w:p w:rsidR="0054147F" w:rsidRDefault="0054147F">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02FC8">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02FC8">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02FC8">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02FC8">
      <w:rPr>
        <w:noProof/>
      </w:rPr>
      <w:t>68</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02FC8">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Pr="00AB30CE" w:rsidRDefault="0054147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4147F" w:rsidRDefault="0054147F" w:rsidP="001420A4">
    <w:pPr>
      <w:pStyle w:val="Header"/>
      <w:pBdr>
        <w:bottom w:val="single" w:sz="4" w:space="1" w:color="auto"/>
      </w:pBdr>
    </w:pPr>
    <w:r>
      <w:tab/>
    </w:r>
    <w:r>
      <w:fldChar w:fldCharType="begin"/>
    </w:r>
    <w:r>
      <w:instrText xml:space="preserve"> PAGE </w:instrText>
    </w:r>
    <w:r>
      <w:fldChar w:fldCharType="separate"/>
    </w:r>
    <w:r w:rsidR="00B02FC8">
      <w:rPr>
        <w:noProof/>
      </w:rPr>
      <w:t>126</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47F" w:rsidRDefault="0054147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02FC8">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AF0420"/>
    <w:multiLevelType w:val="hybridMultilevel"/>
    <w:tmpl w:val="F47E241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2"/>
  </w:num>
  <w:num w:numId="3">
    <w:abstractNumId w:val="11"/>
  </w:num>
  <w:num w:numId="4">
    <w:abstractNumId w:val="19"/>
  </w:num>
  <w:num w:numId="5">
    <w:abstractNumId w:val="29"/>
  </w:num>
  <w:num w:numId="6">
    <w:abstractNumId w:val="31"/>
  </w:num>
  <w:num w:numId="7">
    <w:abstractNumId w:val="16"/>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38"/>
  </w:num>
  <w:num w:numId="21">
    <w:abstractNumId w:val="25"/>
  </w:num>
  <w:num w:numId="22">
    <w:abstractNumId w:val="28"/>
  </w:num>
  <w:num w:numId="23">
    <w:abstractNumId w:val="14"/>
  </w:num>
  <w:num w:numId="24">
    <w:abstractNumId w:val="26"/>
  </w:num>
  <w:num w:numId="25">
    <w:abstractNumId w:val="30"/>
  </w:num>
  <w:num w:numId="26">
    <w:abstractNumId w:val="34"/>
  </w:num>
  <w:num w:numId="27">
    <w:abstractNumId w:val="17"/>
  </w:num>
  <w:num w:numId="28">
    <w:abstractNumId w:val="37"/>
  </w:num>
  <w:num w:numId="29">
    <w:abstractNumId w:val="36"/>
  </w:num>
  <w:num w:numId="30">
    <w:abstractNumId w:val="10"/>
  </w:num>
  <w:num w:numId="31">
    <w:abstractNumId w:val="33"/>
  </w:num>
  <w:num w:numId="32">
    <w:abstractNumId w:val="21"/>
  </w:num>
  <w:num w:numId="33">
    <w:abstractNumId w:val="35"/>
  </w:num>
  <w:num w:numId="34">
    <w:abstractNumId w:val="39"/>
  </w:num>
  <w:num w:numId="35">
    <w:abstractNumId w:val="27"/>
  </w:num>
  <w:num w:numId="36">
    <w:abstractNumId w:val="22"/>
  </w:num>
  <w:num w:numId="37">
    <w:abstractNumId w:val="12"/>
  </w:num>
  <w:num w:numId="38">
    <w:abstractNumId w:val="18"/>
  </w:num>
  <w:num w:numId="39">
    <w:abstractNumId w:val="15"/>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13BD"/>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4160"/>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D25"/>
    <w:rsid w:val="004106E0"/>
    <w:rsid w:val="00412888"/>
    <w:rsid w:val="00414582"/>
    <w:rsid w:val="004154A4"/>
    <w:rsid w:val="00416BAA"/>
    <w:rsid w:val="004208DA"/>
    <w:rsid w:val="004225DB"/>
    <w:rsid w:val="00423DFA"/>
    <w:rsid w:val="0042458B"/>
    <w:rsid w:val="0042630E"/>
    <w:rsid w:val="00431BD1"/>
    <w:rsid w:val="00432F82"/>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3766"/>
    <w:rsid w:val="004753C0"/>
    <w:rsid w:val="004755BA"/>
    <w:rsid w:val="00476AE5"/>
    <w:rsid w:val="004773DB"/>
    <w:rsid w:val="00483467"/>
    <w:rsid w:val="00484E19"/>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47F"/>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560E"/>
    <w:rsid w:val="00596D03"/>
    <w:rsid w:val="005A188B"/>
    <w:rsid w:val="005A5AE4"/>
    <w:rsid w:val="005B390D"/>
    <w:rsid w:val="005B4097"/>
    <w:rsid w:val="005B462B"/>
    <w:rsid w:val="005B47DF"/>
    <w:rsid w:val="005B5ABF"/>
    <w:rsid w:val="005B5DA2"/>
    <w:rsid w:val="005B6E15"/>
    <w:rsid w:val="005B741A"/>
    <w:rsid w:val="005C2818"/>
    <w:rsid w:val="005C3CEB"/>
    <w:rsid w:val="005C549B"/>
    <w:rsid w:val="005C7AFE"/>
    <w:rsid w:val="005C7C2F"/>
    <w:rsid w:val="005D0AA8"/>
    <w:rsid w:val="005D2759"/>
    <w:rsid w:val="005D2F1F"/>
    <w:rsid w:val="005D539B"/>
    <w:rsid w:val="005D6295"/>
    <w:rsid w:val="005D6E1D"/>
    <w:rsid w:val="005E43F2"/>
    <w:rsid w:val="005E48CF"/>
    <w:rsid w:val="005F01C5"/>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18B1"/>
    <w:rsid w:val="006942ED"/>
    <w:rsid w:val="00694F71"/>
    <w:rsid w:val="00697D1B"/>
    <w:rsid w:val="006A0821"/>
    <w:rsid w:val="006A1575"/>
    <w:rsid w:val="006A299A"/>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C6012"/>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15A4"/>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386"/>
    <w:rsid w:val="00AB560A"/>
    <w:rsid w:val="00AC2B4C"/>
    <w:rsid w:val="00AC4DB8"/>
    <w:rsid w:val="00AC5AEE"/>
    <w:rsid w:val="00AC75A7"/>
    <w:rsid w:val="00AD08EF"/>
    <w:rsid w:val="00AD1AB1"/>
    <w:rsid w:val="00AD25AB"/>
    <w:rsid w:val="00AD6F6F"/>
    <w:rsid w:val="00AD7318"/>
    <w:rsid w:val="00AE1A0D"/>
    <w:rsid w:val="00AE2320"/>
    <w:rsid w:val="00AE4282"/>
    <w:rsid w:val="00AE5073"/>
    <w:rsid w:val="00AE67DE"/>
    <w:rsid w:val="00AF2011"/>
    <w:rsid w:val="00AF421B"/>
    <w:rsid w:val="00AF5C49"/>
    <w:rsid w:val="00B028C1"/>
    <w:rsid w:val="00B02FC8"/>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EFE"/>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A98"/>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A7F12"/>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172C2"/>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84D4D"/>
    <w:rsid w:val="00E90997"/>
    <w:rsid w:val="00E91F13"/>
    <w:rsid w:val="00E92160"/>
    <w:rsid w:val="00E92900"/>
    <w:rsid w:val="00EA1328"/>
    <w:rsid w:val="00EA1331"/>
    <w:rsid w:val="00EA28BB"/>
    <w:rsid w:val="00EA2E06"/>
    <w:rsid w:val="00EA449D"/>
    <w:rsid w:val="00EA48ED"/>
    <w:rsid w:val="00EA6354"/>
    <w:rsid w:val="00EA7742"/>
    <w:rsid w:val="00EA7B16"/>
    <w:rsid w:val="00EA7F4D"/>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076"/>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E58626-249C-4E95-8567-029E2FDE0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iPriority w:val="99"/>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ps">
    <w:name w:val="hps"/>
    <w:basedOn w:val="DefaultParagraphFont"/>
    <w:rsid w:val="00484E19"/>
  </w:style>
  <w:style w:type="character" w:customStyle="1" w:styleId="shorttext">
    <w:name w:val="short_text"/>
    <w:basedOn w:val="DefaultParagraphFont"/>
    <w:rsid w:val="00484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227637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F4D59-25DB-4590-AD65-67B167001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Pages>
  <Words>31316</Words>
  <Characters>178502</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119</cp:revision>
  <cp:lastPrinted>2023-11-07T09:43:00Z</cp:lastPrinted>
  <dcterms:created xsi:type="dcterms:W3CDTF">2022-01-11T22:14:00Z</dcterms:created>
  <dcterms:modified xsi:type="dcterms:W3CDTF">2023-12-04T06:46:00Z</dcterms:modified>
</cp:coreProperties>
</file>