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483EED">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483EED">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w:t>
            </w:r>
            <w:bookmarkStart w:id="0" w:name="_GoBack"/>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bookmarkEnd w:id="0"/>
            <w:r w:rsidR="00A33D4F" w:rsidRPr="00A33D4F">
              <w:rPr>
                <w:b/>
                <w:bCs/>
                <w:sz w:val="24"/>
                <w:szCs w:val="24"/>
              </w:rPr>
              <w:t xml:space="preserve"> </w:t>
            </w:r>
            <w:r w:rsidR="00483EED">
              <w:rPr>
                <w:b/>
                <w:bCs/>
                <w:sz w:val="24"/>
                <w:szCs w:val="24"/>
              </w:rPr>
              <w:t>Ba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483EE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483EED">
              <w:rPr>
                <w:rFonts w:ascii="Arial" w:hAnsi="Arial"/>
                <w:sz w:val="24"/>
                <w:szCs w:val="24"/>
              </w:rPr>
              <w:t>24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FB3771">
              <w:rPr>
                <w:rFonts w:ascii="Arial" w:hAnsi="Arial"/>
                <w:b/>
                <w:bCs/>
                <w:sz w:val="24"/>
                <w:szCs w:val="24"/>
                <w:highlight w:val="yellow"/>
              </w:rPr>
              <w:t>3</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483EED" w:rsidRDefault="00483EED">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483EED">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483EED">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483EED">
              <w:rPr>
                <w:rFonts w:ascii="Arial" w:hAnsi="Arial"/>
                <w:spacing w:val="-2"/>
                <w:sz w:val="24"/>
                <w:szCs w:val="24"/>
                <w:highlight w:val="cyan"/>
              </w:rPr>
              <w:t>Ba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483EED">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83EED">
              <w:rPr>
                <w:sz w:val="24"/>
                <w:szCs w:val="24"/>
                <w:highlight w:val="cyan"/>
              </w:rPr>
              <w:t>24</w:t>
            </w:r>
            <w:r w:rsidRPr="008D12BA">
              <w:rPr>
                <w:sz w:val="24"/>
                <w:szCs w:val="24"/>
                <w:highlight w:val="cyan"/>
              </w:rPr>
              <w:t xml:space="preserve">/ </w:t>
            </w:r>
            <w:r w:rsidR="00FB3771">
              <w:rPr>
                <w:sz w:val="24"/>
                <w:szCs w:val="24"/>
                <w:highlight w:val="cyan"/>
              </w:rPr>
              <w:t>3</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483EED" w:rsidP="00483EED">
            <w:pPr>
              <w:spacing w:line="240" w:lineRule="exact"/>
              <w:jc w:val="both"/>
              <w:rPr>
                <w:rFonts w:ascii="Arial" w:hAnsi="Arial"/>
                <w:sz w:val="24"/>
                <w:szCs w:val="24"/>
              </w:rPr>
            </w:pPr>
            <w:r>
              <w:rPr>
                <w:sz w:val="24"/>
                <w:szCs w:val="24"/>
                <w:highlight w:val="cyan"/>
              </w:rPr>
              <w:t>1</w:t>
            </w:r>
            <w:r w:rsidR="00672659" w:rsidRPr="008D12BA">
              <w:rPr>
                <w:sz w:val="24"/>
                <w:szCs w:val="24"/>
                <w:highlight w:val="cyan"/>
              </w:rPr>
              <w:t>/</w:t>
            </w:r>
            <w:r>
              <w:rPr>
                <w:sz w:val="24"/>
                <w:szCs w:val="24"/>
                <w:highlight w:val="cyan"/>
              </w:rPr>
              <w:t>4</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483EE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483EED">
              <w:rPr>
                <w:rFonts w:ascii="Arial" w:hAnsi="Arial"/>
                <w:sz w:val="24"/>
                <w:szCs w:val="24"/>
                <w:highlight w:val="cyan"/>
              </w:rPr>
              <w:t>7</w:t>
            </w:r>
            <w:r w:rsidRPr="008D12BA">
              <w:rPr>
                <w:rFonts w:ascii="Arial" w:hAnsi="Arial"/>
                <w:sz w:val="24"/>
                <w:szCs w:val="24"/>
                <w:highlight w:val="cyan"/>
              </w:rPr>
              <w:t xml:space="preserve"> / </w:t>
            </w:r>
            <w:proofErr w:type="gramStart"/>
            <w:r w:rsidR="00F361F9">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483EED">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483EED">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483EED">
              <w:rPr>
                <w:rFonts w:ascii="Arial" w:eastAsia="Times New Roman" w:hAnsi="Arial"/>
                <w:b/>
                <w:bCs/>
                <w:u w:val="single"/>
              </w:rPr>
              <w:t>Ba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1960" w:type="dxa"/>
        <w:tblInd w:w="93" w:type="dxa"/>
        <w:tblLook w:val="04A0" w:firstRow="1" w:lastRow="0" w:firstColumn="1" w:lastColumn="0" w:noHBand="0" w:noVBand="1"/>
      </w:tblPr>
      <w:tblGrid>
        <w:gridCol w:w="580"/>
        <w:gridCol w:w="1500"/>
        <w:gridCol w:w="2660"/>
        <w:gridCol w:w="1660"/>
        <w:gridCol w:w="1280"/>
        <w:gridCol w:w="980"/>
        <w:gridCol w:w="920"/>
        <w:gridCol w:w="800"/>
        <w:gridCol w:w="800"/>
        <w:gridCol w:w="780"/>
      </w:tblGrid>
      <w:tr w:rsidR="00483EED" w:rsidRPr="00483EED" w:rsidTr="00483EED">
        <w:trPr>
          <w:trHeight w:val="1038"/>
        </w:trPr>
        <w:tc>
          <w:tcPr>
            <w:tcW w:w="11960" w:type="dxa"/>
            <w:gridSpan w:val="10"/>
            <w:tcBorders>
              <w:top w:val="nil"/>
              <w:left w:val="nil"/>
              <w:bottom w:val="single" w:sz="4" w:space="0" w:color="auto"/>
              <w:right w:val="nil"/>
            </w:tcBorders>
            <w:shd w:val="clear" w:color="auto" w:fill="auto"/>
            <w:noWrap/>
            <w:vAlign w:val="center"/>
            <w:hideMark/>
          </w:tcPr>
          <w:p w:rsidR="00483EED" w:rsidRPr="00483EED" w:rsidRDefault="00483EED" w:rsidP="00483EED">
            <w:pPr>
              <w:spacing w:after="0" w:line="240" w:lineRule="auto"/>
              <w:jc w:val="center"/>
              <w:rPr>
                <w:rFonts w:ascii="Calibri" w:eastAsia="Times New Roman" w:hAnsi="Calibri" w:cs="Calibri"/>
                <w:color w:val="000000"/>
              </w:rPr>
            </w:pPr>
            <w:r w:rsidRPr="00483EED">
              <w:rPr>
                <w:rFonts w:ascii="Calibri" w:eastAsia="Times New Roman" w:hAnsi="Calibri" w:cs="Calibri"/>
                <w:color w:val="000000"/>
              </w:rPr>
              <w:lastRenderedPageBreak/>
              <w:t xml:space="preserve">        </w:t>
            </w:r>
            <w:r w:rsidRPr="00483EED">
              <w:rPr>
                <w:rFonts w:ascii="Calibri" w:eastAsia="Times New Roman" w:hAnsi="Calibri" w:cs="Calibri"/>
                <w:color w:val="000000"/>
                <w:sz w:val="32"/>
                <w:szCs w:val="32"/>
              </w:rPr>
              <w:t xml:space="preserve">    </w:t>
            </w:r>
            <w:r w:rsidRPr="00483EED">
              <w:rPr>
                <w:rFonts w:ascii="Calibri" w:eastAsia="Times New Roman" w:hAnsi="Calibri" w:cs="Calibri"/>
                <w:b/>
                <w:bCs/>
                <w:color w:val="000000"/>
                <w:sz w:val="32"/>
                <w:szCs w:val="32"/>
              </w:rPr>
              <w:t xml:space="preserve">med3-2024-Ba </w:t>
            </w:r>
            <w:r w:rsidRPr="00483EED">
              <w:rPr>
                <w:rFonts w:ascii="Calibri" w:eastAsia="Times New Roman" w:hAnsi="Calibri" w:cs="Calibri"/>
                <w:b/>
                <w:bCs/>
                <w:color w:val="000000"/>
              </w:rPr>
              <w:t xml:space="preserve"> </w:t>
            </w:r>
          </w:p>
        </w:tc>
      </w:tr>
      <w:tr w:rsidR="00483EED" w:rsidRPr="00483EED" w:rsidTr="00483EED">
        <w:trPr>
          <w:trHeight w:val="104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no</w:t>
            </w:r>
          </w:p>
        </w:tc>
        <w:tc>
          <w:tcPr>
            <w:tcW w:w="1500" w:type="dxa"/>
            <w:tcBorders>
              <w:top w:val="nil"/>
              <w:left w:val="nil"/>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bookmarkStart w:id="1" w:name="RANGE!B2:J2"/>
            <w:bookmarkStart w:id="2" w:name="RANGE!B1:J3"/>
            <w:bookmarkEnd w:id="2"/>
            <w:r w:rsidRPr="00483EED">
              <w:rPr>
                <w:rFonts w:ascii="Calibri" w:eastAsia="Times New Roman" w:hAnsi="Calibri" w:cs="Calibri"/>
                <w:b/>
                <w:bCs/>
                <w:color w:val="000000"/>
              </w:rPr>
              <w:t>National code</w:t>
            </w:r>
            <w:bookmarkEnd w:id="1"/>
          </w:p>
        </w:tc>
        <w:tc>
          <w:tcPr>
            <w:tcW w:w="2660" w:type="dxa"/>
            <w:tcBorders>
              <w:top w:val="nil"/>
              <w:left w:val="nil"/>
              <w:bottom w:val="single" w:sz="4" w:space="0" w:color="auto"/>
              <w:right w:val="single" w:sz="4" w:space="0" w:color="auto"/>
            </w:tcBorders>
            <w:shd w:val="clear" w:color="000000" w:fill="C4BD97"/>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Generic name</w:t>
            </w:r>
          </w:p>
        </w:tc>
        <w:tc>
          <w:tcPr>
            <w:tcW w:w="1660" w:type="dxa"/>
            <w:tcBorders>
              <w:top w:val="nil"/>
              <w:left w:val="nil"/>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note need</w:t>
            </w:r>
          </w:p>
        </w:tc>
        <w:tc>
          <w:tcPr>
            <w:tcW w:w="1280" w:type="dxa"/>
            <w:tcBorders>
              <w:top w:val="nil"/>
              <w:left w:val="nil"/>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TOTAL2025</w:t>
            </w:r>
          </w:p>
        </w:tc>
        <w:tc>
          <w:tcPr>
            <w:tcW w:w="980" w:type="dxa"/>
            <w:tcBorders>
              <w:top w:val="nil"/>
              <w:left w:val="nil"/>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pack size</w:t>
            </w:r>
          </w:p>
        </w:tc>
        <w:tc>
          <w:tcPr>
            <w:tcW w:w="920" w:type="dxa"/>
            <w:tcBorders>
              <w:top w:val="nil"/>
              <w:left w:val="nil"/>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Brand</w:t>
            </w:r>
          </w:p>
        </w:tc>
        <w:tc>
          <w:tcPr>
            <w:tcW w:w="800" w:type="dxa"/>
            <w:tcBorders>
              <w:top w:val="nil"/>
              <w:left w:val="nil"/>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70% of brand</w:t>
            </w:r>
          </w:p>
        </w:tc>
        <w:tc>
          <w:tcPr>
            <w:tcW w:w="800" w:type="dxa"/>
            <w:tcBorders>
              <w:top w:val="nil"/>
              <w:left w:val="nil"/>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45% of brand</w:t>
            </w:r>
          </w:p>
        </w:tc>
        <w:tc>
          <w:tcPr>
            <w:tcW w:w="780" w:type="dxa"/>
            <w:tcBorders>
              <w:top w:val="nil"/>
              <w:left w:val="nil"/>
              <w:bottom w:val="single" w:sz="4" w:space="0" w:color="auto"/>
              <w:right w:val="single" w:sz="4" w:space="0" w:color="auto"/>
            </w:tcBorders>
            <w:shd w:val="clear" w:color="000000" w:fill="C4BD97"/>
            <w:vAlign w:val="center"/>
            <w:hideMark/>
          </w:tcPr>
          <w:p w:rsidR="00483EED" w:rsidRPr="00483EED" w:rsidRDefault="00483EED" w:rsidP="00483EED">
            <w:pPr>
              <w:spacing w:after="0" w:line="240" w:lineRule="auto"/>
              <w:jc w:val="center"/>
              <w:rPr>
                <w:rFonts w:ascii="Calibri" w:eastAsia="Times New Roman" w:hAnsi="Calibri" w:cs="Calibri"/>
                <w:b/>
                <w:bCs/>
                <w:color w:val="000000"/>
              </w:rPr>
            </w:pPr>
            <w:r w:rsidRPr="00483EED">
              <w:rPr>
                <w:rFonts w:ascii="Calibri" w:eastAsia="Times New Roman" w:hAnsi="Calibri" w:cs="Calibri"/>
                <w:b/>
                <w:bCs/>
                <w:color w:val="000000"/>
              </w:rPr>
              <w:t>25% of brand</w:t>
            </w:r>
          </w:p>
        </w:tc>
      </w:tr>
      <w:tr w:rsidR="00483EED" w:rsidRPr="00483EED" w:rsidTr="00483EED">
        <w:trPr>
          <w:trHeight w:val="1432"/>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83EED" w:rsidRPr="00483EED" w:rsidRDefault="00483EED" w:rsidP="00483EED">
            <w:pPr>
              <w:spacing w:after="0" w:line="240" w:lineRule="auto"/>
              <w:jc w:val="center"/>
              <w:rPr>
                <w:rFonts w:ascii="Calibri" w:eastAsia="Times New Roman" w:hAnsi="Calibri" w:cs="Calibri"/>
                <w:color w:val="000000"/>
              </w:rPr>
            </w:pPr>
            <w:r w:rsidRPr="00483EED">
              <w:rPr>
                <w:rFonts w:ascii="Calibri" w:eastAsia="Times New Roman" w:hAnsi="Calibri" w:cs="Calibri"/>
                <w:color w:val="000000"/>
              </w:rPr>
              <w:t>1</w:t>
            </w:r>
          </w:p>
        </w:tc>
        <w:tc>
          <w:tcPr>
            <w:tcW w:w="1500" w:type="dxa"/>
            <w:tcBorders>
              <w:top w:val="nil"/>
              <w:left w:val="nil"/>
              <w:bottom w:val="single" w:sz="4" w:space="0" w:color="auto"/>
              <w:right w:val="single" w:sz="4" w:space="0" w:color="auto"/>
            </w:tcBorders>
            <w:shd w:val="clear" w:color="auto" w:fill="auto"/>
            <w:vAlign w:val="center"/>
            <w:hideMark/>
          </w:tcPr>
          <w:p w:rsidR="00483EED" w:rsidRPr="00483EED" w:rsidRDefault="00483EED" w:rsidP="00483EED">
            <w:pPr>
              <w:spacing w:after="0" w:line="240" w:lineRule="auto"/>
              <w:jc w:val="center"/>
              <w:rPr>
                <w:rFonts w:ascii="Cambria" w:eastAsia="Times New Roman" w:hAnsi="Cambria" w:cs="Calibri"/>
                <w:b/>
                <w:bCs/>
                <w:sz w:val="20"/>
                <w:szCs w:val="20"/>
              </w:rPr>
            </w:pPr>
            <w:r w:rsidRPr="00483EED">
              <w:rPr>
                <w:rFonts w:ascii="Cambria" w:eastAsia="Times New Roman" w:hAnsi="Cambria" w:cs="Calibri"/>
                <w:b/>
                <w:bCs/>
                <w:sz w:val="20"/>
                <w:szCs w:val="20"/>
              </w:rPr>
              <w:t>02-E00-011</w:t>
            </w:r>
          </w:p>
        </w:tc>
        <w:tc>
          <w:tcPr>
            <w:tcW w:w="2660" w:type="dxa"/>
            <w:tcBorders>
              <w:top w:val="nil"/>
              <w:left w:val="nil"/>
              <w:bottom w:val="single" w:sz="4" w:space="0" w:color="auto"/>
              <w:right w:val="single" w:sz="4" w:space="0" w:color="auto"/>
            </w:tcBorders>
            <w:shd w:val="clear" w:color="auto" w:fill="auto"/>
            <w:vAlign w:val="center"/>
            <w:hideMark/>
          </w:tcPr>
          <w:p w:rsidR="00483EED" w:rsidRPr="00483EED" w:rsidRDefault="00483EED" w:rsidP="00483EED">
            <w:pPr>
              <w:spacing w:after="0" w:line="240" w:lineRule="auto"/>
              <w:rPr>
                <w:rFonts w:ascii="Cambria" w:eastAsia="Times New Roman" w:hAnsi="Cambria" w:cs="Calibri"/>
                <w:b/>
                <w:bCs/>
                <w:color w:val="000000"/>
                <w:sz w:val="24"/>
                <w:szCs w:val="24"/>
              </w:rPr>
            </w:pPr>
            <w:proofErr w:type="spellStart"/>
            <w:r w:rsidRPr="00483EED">
              <w:rPr>
                <w:rFonts w:ascii="Cambria" w:eastAsia="Times New Roman" w:hAnsi="Cambria" w:cs="Calibri"/>
                <w:b/>
                <w:bCs/>
                <w:color w:val="000000"/>
                <w:sz w:val="24"/>
                <w:szCs w:val="24"/>
              </w:rPr>
              <w:t>Mesalazineenema</w:t>
            </w:r>
            <w:proofErr w:type="spellEnd"/>
            <w:r w:rsidRPr="00483EED">
              <w:rPr>
                <w:rFonts w:ascii="Cambria" w:eastAsia="Times New Roman" w:hAnsi="Cambria" w:cs="Calibri"/>
                <w:b/>
                <w:bCs/>
                <w:color w:val="000000"/>
                <w:sz w:val="24"/>
                <w:szCs w:val="24"/>
              </w:rPr>
              <w:t xml:space="preserve"> (suspension 1gm/100ml </w:t>
            </w:r>
            <w:r w:rsidRPr="00483EED">
              <w:rPr>
                <w:rFonts w:ascii="Cambria" w:eastAsia="Times New Roman" w:hAnsi="Cambria" w:cs="Calibri"/>
                <w:b/>
                <w:bCs/>
                <w:color w:val="FF0000"/>
                <w:sz w:val="24"/>
                <w:szCs w:val="24"/>
              </w:rPr>
              <w:t>or foam 1gm/application)</w:t>
            </w:r>
          </w:p>
        </w:tc>
        <w:tc>
          <w:tcPr>
            <w:tcW w:w="1660" w:type="dxa"/>
            <w:tcBorders>
              <w:top w:val="nil"/>
              <w:left w:val="nil"/>
              <w:bottom w:val="single" w:sz="4" w:space="0" w:color="auto"/>
              <w:right w:val="single" w:sz="4" w:space="0" w:color="auto"/>
            </w:tcBorders>
            <w:shd w:val="clear" w:color="000000" w:fill="FFFFFF"/>
            <w:vAlign w:val="center"/>
            <w:hideMark/>
          </w:tcPr>
          <w:p w:rsidR="00483EED" w:rsidRPr="00483EED" w:rsidRDefault="00483EED" w:rsidP="00483EED">
            <w:pPr>
              <w:bidi/>
              <w:spacing w:after="0" w:line="240" w:lineRule="auto"/>
              <w:rPr>
                <w:rFonts w:ascii="Arial" w:eastAsia="Times New Roman" w:hAnsi="Arial" w:cs="Arial"/>
                <w:b/>
                <w:bCs/>
                <w:color w:val="000000"/>
              </w:rPr>
            </w:pPr>
            <w:r w:rsidRPr="00483EED">
              <w:rPr>
                <w:rFonts w:ascii="Arial" w:eastAsia="Times New Roman" w:hAnsi="Arial" w:cs="Arial"/>
                <w:b/>
                <w:bCs/>
                <w:color w:val="000000"/>
                <w:rtl/>
              </w:rPr>
              <w:t>ج/ 1129 توضيح المقر             ج 987(المستوى الاول)</w:t>
            </w:r>
          </w:p>
        </w:tc>
        <w:tc>
          <w:tcPr>
            <w:tcW w:w="1280" w:type="dxa"/>
            <w:tcBorders>
              <w:top w:val="nil"/>
              <w:left w:val="nil"/>
              <w:bottom w:val="single" w:sz="4" w:space="0" w:color="auto"/>
              <w:right w:val="single" w:sz="4" w:space="0" w:color="auto"/>
            </w:tcBorders>
            <w:shd w:val="clear" w:color="auto" w:fill="auto"/>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24775</w:t>
            </w:r>
          </w:p>
        </w:tc>
        <w:tc>
          <w:tcPr>
            <w:tcW w:w="98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sz w:val="18"/>
                <w:szCs w:val="18"/>
              </w:rPr>
            </w:pPr>
            <w:r w:rsidRPr="00483EED">
              <w:rPr>
                <w:rFonts w:ascii="Calibri" w:eastAsia="Times New Roman" w:hAnsi="Calibri" w:cs="Calibri"/>
                <w:b/>
                <w:bCs/>
                <w:color w:val="000000"/>
                <w:sz w:val="18"/>
                <w:szCs w:val="18"/>
              </w:rPr>
              <w:t>14 enema</w:t>
            </w:r>
          </w:p>
        </w:tc>
        <w:tc>
          <w:tcPr>
            <w:tcW w:w="92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36.8 $</w:t>
            </w:r>
          </w:p>
        </w:tc>
        <w:tc>
          <w:tcPr>
            <w:tcW w:w="80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25.76 $</w:t>
            </w:r>
          </w:p>
        </w:tc>
        <w:tc>
          <w:tcPr>
            <w:tcW w:w="80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16.56 $</w:t>
            </w:r>
          </w:p>
        </w:tc>
        <w:tc>
          <w:tcPr>
            <w:tcW w:w="78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9.2 $</w:t>
            </w:r>
          </w:p>
        </w:tc>
      </w:tr>
      <w:tr w:rsidR="00483EED" w:rsidRPr="00483EED" w:rsidTr="00483EED">
        <w:trPr>
          <w:trHeight w:val="104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jc w:val="center"/>
              <w:rPr>
                <w:rFonts w:ascii="Calibri" w:eastAsia="Times New Roman" w:hAnsi="Calibri" w:cs="Calibri"/>
                <w:color w:val="000000"/>
              </w:rPr>
            </w:pPr>
            <w:r w:rsidRPr="00483EED">
              <w:rPr>
                <w:rFonts w:ascii="Calibri" w:eastAsia="Times New Roman" w:hAnsi="Calibri" w:cs="Calibri"/>
                <w:color w:val="000000"/>
              </w:rPr>
              <w:t>2</w:t>
            </w:r>
          </w:p>
        </w:tc>
        <w:tc>
          <w:tcPr>
            <w:tcW w:w="1500" w:type="dxa"/>
            <w:tcBorders>
              <w:top w:val="nil"/>
              <w:left w:val="nil"/>
              <w:bottom w:val="single" w:sz="4" w:space="0" w:color="auto"/>
              <w:right w:val="single" w:sz="4" w:space="0" w:color="auto"/>
            </w:tcBorders>
            <w:shd w:val="clear" w:color="000000" w:fill="FFFFFF"/>
            <w:vAlign w:val="center"/>
            <w:hideMark/>
          </w:tcPr>
          <w:p w:rsidR="00483EED" w:rsidRPr="00483EED" w:rsidRDefault="00483EED" w:rsidP="00483EED">
            <w:pPr>
              <w:spacing w:after="0" w:line="240" w:lineRule="auto"/>
              <w:jc w:val="center"/>
              <w:rPr>
                <w:rFonts w:ascii="Cambria" w:eastAsia="Times New Roman" w:hAnsi="Cambria" w:cs="Calibri"/>
                <w:b/>
                <w:bCs/>
                <w:color w:val="000000"/>
                <w:sz w:val="20"/>
                <w:szCs w:val="20"/>
              </w:rPr>
            </w:pPr>
            <w:r w:rsidRPr="00483EED">
              <w:rPr>
                <w:rFonts w:ascii="Cambria" w:eastAsia="Times New Roman" w:hAnsi="Cambria" w:cs="Calibri"/>
                <w:b/>
                <w:bCs/>
                <w:color w:val="000000"/>
                <w:sz w:val="20"/>
                <w:szCs w:val="20"/>
              </w:rPr>
              <w:t>04-CA0-002</w:t>
            </w:r>
          </w:p>
        </w:tc>
        <w:tc>
          <w:tcPr>
            <w:tcW w:w="2660" w:type="dxa"/>
            <w:tcBorders>
              <w:top w:val="nil"/>
              <w:left w:val="nil"/>
              <w:bottom w:val="single" w:sz="4" w:space="0" w:color="auto"/>
              <w:right w:val="single" w:sz="4" w:space="0" w:color="auto"/>
            </w:tcBorders>
            <w:shd w:val="clear" w:color="000000" w:fill="FFFFFF"/>
            <w:vAlign w:val="center"/>
            <w:hideMark/>
          </w:tcPr>
          <w:p w:rsidR="00483EED" w:rsidRPr="00483EED" w:rsidRDefault="00483EED" w:rsidP="00483EED">
            <w:pPr>
              <w:spacing w:after="0" w:line="240" w:lineRule="auto"/>
              <w:jc w:val="center"/>
              <w:rPr>
                <w:rFonts w:ascii="Cambria" w:eastAsia="Times New Roman" w:hAnsi="Cambria" w:cs="Calibri"/>
                <w:b/>
                <w:bCs/>
                <w:color w:val="000000"/>
              </w:rPr>
            </w:pPr>
            <w:r w:rsidRPr="00483EED">
              <w:rPr>
                <w:rFonts w:ascii="Cambria" w:eastAsia="Times New Roman" w:hAnsi="Cambria" w:cs="Calibri"/>
                <w:b/>
                <w:bCs/>
                <w:color w:val="000000"/>
              </w:rPr>
              <w:t xml:space="preserve">Amitriptyline </w:t>
            </w:r>
            <w:proofErr w:type="spellStart"/>
            <w:r w:rsidRPr="00483EED">
              <w:rPr>
                <w:rFonts w:ascii="Cambria" w:eastAsia="Times New Roman" w:hAnsi="Cambria" w:cs="Calibri"/>
                <w:b/>
                <w:bCs/>
                <w:color w:val="000000"/>
              </w:rPr>
              <w:t>Hcl</w:t>
            </w:r>
            <w:proofErr w:type="spellEnd"/>
            <w:r w:rsidRPr="00483EED">
              <w:rPr>
                <w:rFonts w:ascii="Cambria" w:eastAsia="Times New Roman" w:hAnsi="Cambria" w:cs="Calibri"/>
                <w:b/>
                <w:bCs/>
                <w:color w:val="000000"/>
              </w:rPr>
              <w:t xml:space="preserve">  25mg Tablet</w:t>
            </w:r>
          </w:p>
        </w:tc>
        <w:tc>
          <w:tcPr>
            <w:tcW w:w="1660" w:type="dxa"/>
            <w:tcBorders>
              <w:top w:val="nil"/>
              <w:left w:val="nil"/>
              <w:bottom w:val="single" w:sz="4" w:space="0" w:color="auto"/>
              <w:right w:val="single" w:sz="4" w:space="0" w:color="auto"/>
            </w:tcBorders>
            <w:shd w:val="clear" w:color="auto" w:fill="auto"/>
            <w:vAlign w:val="center"/>
            <w:hideMark/>
          </w:tcPr>
          <w:p w:rsidR="00483EED" w:rsidRPr="00483EED" w:rsidRDefault="00483EED" w:rsidP="00483EED">
            <w:pPr>
              <w:bidi/>
              <w:spacing w:after="0" w:line="240" w:lineRule="auto"/>
              <w:rPr>
                <w:rFonts w:ascii="Calibri" w:eastAsia="Times New Roman" w:hAnsi="Calibri" w:cs="Calibri"/>
                <w:b/>
                <w:bCs/>
                <w:color w:val="000000"/>
              </w:rPr>
            </w:pPr>
            <w:r w:rsidRPr="00483EED">
              <w:rPr>
                <w:rFonts w:ascii="Calibri" w:eastAsia="Times New Roman" w:hAnsi="Calibri" w:cs="Calibri"/>
                <w:b/>
                <w:bCs/>
                <w:color w:val="000000"/>
                <w:rtl/>
              </w:rPr>
              <w:t>لمرضى الشلل والمعاقين</w:t>
            </w:r>
          </w:p>
        </w:tc>
        <w:tc>
          <w:tcPr>
            <w:tcW w:w="128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jc w:val="right"/>
              <w:rPr>
                <w:rFonts w:ascii="Calibri" w:eastAsia="Times New Roman" w:hAnsi="Calibri" w:cs="Calibri"/>
                <w:b/>
                <w:bCs/>
                <w:color w:val="000000"/>
              </w:rPr>
            </w:pPr>
            <w:r w:rsidRPr="00483EED">
              <w:rPr>
                <w:rFonts w:ascii="Calibri" w:eastAsia="Times New Roman" w:hAnsi="Calibri" w:cs="Calibri"/>
                <w:b/>
                <w:bCs/>
                <w:color w:val="000000"/>
              </w:rPr>
              <w:t>1281700</w:t>
            </w:r>
          </w:p>
        </w:tc>
        <w:tc>
          <w:tcPr>
            <w:tcW w:w="98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sz w:val="18"/>
                <w:szCs w:val="18"/>
              </w:rPr>
            </w:pPr>
            <w:r w:rsidRPr="00483EED">
              <w:rPr>
                <w:rFonts w:ascii="Calibri" w:eastAsia="Times New Roman" w:hAnsi="Calibri" w:cs="Calibri"/>
                <w:b/>
                <w:bCs/>
                <w:color w:val="000000"/>
                <w:sz w:val="18"/>
                <w:szCs w:val="18"/>
              </w:rPr>
              <w:t>28 tab</w:t>
            </w:r>
          </w:p>
        </w:tc>
        <w:tc>
          <w:tcPr>
            <w:tcW w:w="92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1.37 $</w:t>
            </w:r>
          </w:p>
        </w:tc>
        <w:tc>
          <w:tcPr>
            <w:tcW w:w="80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0.95 $</w:t>
            </w:r>
          </w:p>
        </w:tc>
        <w:tc>
          <w:tcPr>
            <w:tcW w:w="80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0.61 $</w:t>
            </w:r>
          </w:p>
        </w:tc>
        <w:tc>
          <w:tcPr>
            <w:tcW w:w="78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0.34 $</w:t>
            </w:r>
          </w:p>
        </w:tc>
      </w:tr>
      <w:tr w:rsidR="00483EED" w:rsidRPr="00483EED" w:rsidTr="00483EED">
        <w:trPr>
          <w:trHeight w:val="32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jc w:val="center"/>
              <w:rPr>
                <w:rFonts w:ascii="Calibri" w:eastAsia="Times New Roman" w:hAnsi="Calibri" w:cs="Calibri"/>
                <w:color w:val="000000"/>
              </w:rPr>
            </w:pPr>
            <w:r w:rsidRPr="00483EED">
              <w:rPr>
                <w:rFonts w:ascii="Calibri" w:eastAsia="Times New Roman" w:hAnsi="Calibri" w:cs="Calibri"/>
                <w:color w:val="000000"/>
              </w:rPr>
              <w:t>3</w:t>
            </w:r>
          </w:p>
        </w:tc>
        <w:tc>
          <w:tcPr>
            <w:tcW w:w="150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jc w:val="center"/>
              <w:rPr>
                <w:rFonts w:ascii="Cambria" w:eastAsia="Times New Roman" w:hAnsi="Cambria" w:cs="Calibri"/>
                <w:b/>
                <w:bCs/>
                <w:color w:val="000000"/>
                <w:sz w:val="20"/>
                <w:szCs w:val="20"/>
              </w:rPr>
            </w:pPr>
            <w:r w:rsidRPr="00483EED">
              <w:rPr>
                <w:rFonts w:ascii="Cambria" w:eastAsia="Times New Roman" w:hAnsi="Cambria" w:cs="Calibri"/>
                <w:b/>
                <w:bCs/>
                <w:color w:val="000000"/>
                <w:sz w:val="20"/>
                <w:szCs w:val="20"/>
              </w:rPr>
              <w:t>09-D00-067</w:t>
            </w:r>
          </w:p>
        </w:tc>
        <w:tc>
          <w:tcPr>
            <w:tcW w:w="2660" w:type="dxa"/>
            <w:tcBorders>
              <w:top w:val="nil"/>
              <w:left w:val="nil"/>
              <w:bottom w:val="single" w:sz="4" w:space="0" w:color="auto"/>
              <w:right w:val="single" w:sz="4" w:space="0" w:color="auto"/>
            </w:tcBorders>
            <w:shd w:val="clear" w:color="000000" w:fill="FFFFFF"/>
            <w:vAlign w:val="center"/>
            <w:hideMark/>
          </w:tcPr>
          <w:p w:rsidR="00483EED" w:rsidRPr="00483EED" w:rsidRDefault="00483EED" w:rsidP="00483EED">
            <w:pPr>
              <w:spacing w:after="0" w:line="240" w:lineRule="auto"/>
              <w:jc w:val="center"/>
              <w:rPr>
                <w:rFonts w:ascii="Cambria" w:eastAsia="Times New Roman" w:hAnsi="Cambria" w:cs="Calibri"/>
                <w:b/>
                <w:bCs/>
                <w:color w:val="000000"/>
              </w:rPr>
            </w:pPr>
            <w:r w:rsidRPr="00483EED">
              <w:rPr>
                <w:rFonts w:ascii="Cambria" w:eastAsia="Times New Roman" w:hAnsi="Cambria" w:cs="Calibri"/>
                <w:b/>
                <w:bCs/>
                <w:color w:val="000000"/>
              </w:rPr>
              <w:t xml:space="preserve">Sodium chloride 3% </w:t>
            </w:r>
            <w:proofErr w:type="spellStart"/>
            <w:r w:rsidRPr="00483EED">
              <w:rPr>
                <w:rFonts w:ascii="Cambria" w:eastAsia="Times New Roman" w:hAnsi="Cambria" w:cs="Calibri"/>
                <w:b/>
                <w:bCs/>
                <w:color w:val="000000"/>
              </w:rPr>
              <w:t>hypretonic</w:t>
            </w:r>
            <w:proofErr w:type="spellEnd"/>
            <w:r w:rsidRPr="00483EED">
              <w:rPr>
                <w:rFonts w:ascii="Cambria" w:eastAsia="Times New Roman" w:hAnsi="Cambria" w:cs="Calibri"/>
                <w:b/>
                <w:bCs/>
                <w:color w:val="000000"/>
              </w:rPr>
              <w:t xml:space="preserve"> saline 200ml  or 250ml </w:t>
            </w:r>
            <w:r w:rsidRPr="00483EED">
              <w:rPr>
                <w:rFonts w:ascii="Cambria" w:eastAsia="Times New Roman" w:hAnsi="Cambria" w:cs="Calibri"/>
                <w:b/>
                <w:bCs/>
                <w:color w:val="FF0000"/>
              </w:rPr>
              <w:t>bottle or bag</w:t>
            </w:r>
          </w:p>
        </w:tc>
        <w:tc>
          <w:tcPr>
            <w:tcW w:w="1660" w:type="dxa"/>
            <w:tcBorders>
              <w:top w:val="nil"/>
              <w:left w:val="nil"/>
              <w:bottom w:val="single" w:sz="4" w:space="0" w:color="auto"/>
              <w:right w:val="single" w:sz="4" w:space="0" w:color="auto"/>
            </w:tcBorders>
            <w:shd w:val="clear" w:color="auto" w:fill="auto"/>
            <w:vAlign w:val="center"/>
            <w:hideMark/>
          </w:tcPr>
          <w:p w:rsidR="00483EED" w:rsidRPr="00483EED" w:rsidRDefault="00483EED" w:rsidP="00483EED">
            <w:pPr>
              <w:bidi/>
              <w:spacing w:after="0" w:line="240" w:lineRule="auto"/>
              <w:rPr>
                <w:rFonts w:ascii="Calibri" w:eastAsia="Times New Roman" w:hAnsi="Calibri" w:cs="Calibri"/>
                <w:b/>
                <w:bCs/>
                <w:color w:val="000000"/>
              </w:rPr>
            </w:pPr>
            <w:r w:rsidRPr="00483EED">
              <w:rPr>
                <w:rFonts w:ascii="Calibri" w:eastAsia="Times New Roman" w:hAnsi="Calibri" w:cs="Calibri"/>
                <w:b/>
                <w:bCs/>
                <w:color w:val="000000"/>
                <w:rtl/>
              </w:rPr>
              <w:t xml:space="preserve">ج/ 1134 توضيح المادة         يثبت على العلبة </w:t>
            </w:r>
            <w:r w:rsidRPr="00483EED">
              <w:rPr>
                <w:rFonts w:ascii="Calibri" w:eastAsia="Times New Roman" w:hAnsi="Calibri" w:cs="Calibri"/>
                <w:b/>
                <w:bCs/>
                <w:color w:val="000000"/>
              </w:rPr>
              <w:t>Hypertonic</w:t>
            </w:r>
            <w:r w:rsidRPr="00483EED">
              <w:rPr>
                <w:rFonts w:ascii="Calibri" w:eastAsia="Times New Roman" w:hAnsi="Calibri" w:cs="Calibri"/>
                <w:b/>
                <w:bCs/>
                <w:color w:val="000000"/>
                <w:rtl/>
              </w:rPr>
              <w:t xml:space="preserve">  او توضع علامات تحذيرية على العلبة لتفريقها عن باقي المغذيات (يثبت على العلبة 3% </w:t>
            </w:r>
            <w:r w:rsidRPr="00483EED">
              <w:rPr>
                <w:rFonts w:ascii="Calibri" w:eastAsia="Times New Roman" w:hAnsi="Calibri" w:cs="Calibri"/>
                <w:b/>
                <w:bCs/>
                <w:color w:val="000000"/>
              </w:rPr>
              <w:t>solution</w:t>
            </w:r>
            <w:r w:rsidRPr="00483EED">
              <w:rPr>
                <w:rFonts w:ascii="Calibri" w:eastAsia="Times New Roman" w:hAnsi="Calibri" w:cs="Calibri"/>
                <w:b/>
                <w:bCs/>
                <w:color w:val="000000"/>
                <w:rtl/>
              </w:rPr>
              <w:t>)</w:t>
            </w:r>
          </w:p>
        </w:tc>
        <w:tc>
          <w:tcPr>
            <w:tcW w:w="128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jc w:val="right"/>
              <w:rPr>
                <w:rFonts w:ascii="Calibri" w:eastAsia="Times New Roman" w:hAnsi="Calibri" w:cs="Calibri"/>
                <w:b/>
                <w:bCs/>
                <w:color w:val="000000"/>
              </w:rPr>
            </w:pPr>
            <w:r w:rsidRPr="00483EED">
              <w:rPr>
                <w:rFonts w:ascii="Calibri" w:eastAsia="Times New Roman" w:hAnsi="Calibri" w:cs="Calibri"/>
                <w:b/>
                <w:bCs/>
                <w:color w:val="000000"/>
              </w:rPr>
              <w:t>16684</w:t>
            </w:r>
          </w:p>
        </w:tc>
        <w:tc>
          <w:tcPr>
            <w:tcW w:w="98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sz w:val="18"/>
                <w:szCs w:val="18"/>
              </w:rPr>
            </w:pPr>
            <w:r w:rsidRPr="00483EED">
              <w:rPr>
                <w:rFonts w:ascii="Calibri" w:eastAsia="Times New Roman" w:hAnsi="Calibri" w:cs="Calibri"/>
                <w:b/>
                <w:bCs/>
                <w:color w:val="000000"/>
                <w:sz w:val="18"/>
                <w:szCs w:val="18"/>
              </w:rPr>
              <w:t>250 ml(bot</w:t>
            </w:r>
          </w:p>
        </w:tc>
        <w:tc>
          <w:tcPr>
            <w:tcW w:w="92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3.66 $</w:t>
            </w:r>
          </w:p>
        </w:tc>
        <w:tc>
          <w:tcPr>
            <w:tcW w:w="80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2.56 $</w:t>
            </w:r>
          </w:p>
        </w:tc>
        <w:tc>
          <w:tcPr>
            <w:tcW w:w="80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1.65 $</w:t>
            </w:r>
          </w:p>
        </w:tc>
        <w:tc>
          <w:tcPr>
            <w:tcW w:w="78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0.91 $</w:t>
            </w:r>
          </w:p>
        </w:tc>
      </w:tr>
      <w:tr w:rsidR="00483EED" w:rsidRPr="00483EED" w:rsidTr="00483EED">
        <w:trPr>
          <w:trHeight w:val="217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jc w:val="center"/>
              <w:rPr>
                <w:rFonts w:ascii="Calibri" w:eastAsia="Times New Roman" w:hAnsi="Calibri" w:cs="Calibri"/>
                <w:color w:val="000000"/>
              </w:rPr>
            </w:pPr>
            <w:r w:rsidRPr="00483EED">
              <w:rPr>
                <w:rFonts w:ascii="Calibri" w:eastAsia="Times New Roman" w:hAnsi="Calibri" w:cs="Calibri"/>
                <w:color w:val="000000"/>
              </w:rPr>
              <w:lastRenderedPageBreak/>
              <w:t>4</w:t>
            </w:r>
          </w:p>
        </w:tc>
        <w:tc>
          <w:tcPr>
            <w:tcW w:w="1500" w:type="dxa"/>
            <w:tcBorders>
              <w:top w:val="nil"/>
              <w:left w:val="nil"/>
              <w:bottom w:val="single" w:sz="4" w:space="0" w:color="auto"/>
              <w:right w:val="single" w:sz="4" w:space="0" w:color="auto"/>
            </w:tcBorders>
            <w:shd w:val="clear" w:color="000000" w:fill="FFFFFF"/>
            <w:vAlign w:val="center"/>
            <w:hideMark/>
          </w:tcPr>
          <w:p w:rsidR="00483EED" w:rsidRPr="00483EED" w:rsidRDefault="00483EED" w:rsidP="00483EED">
            <w:pPr>
              <w:spacing w:after="0" w:line="240" w:lineRule="auto"/>
              <w:jc w:val="center"/>
              <w:rPr>
                <w:rFonts w:ascii="Cambria" w:eastAsia="Times New Roman" w:hAnsi="Cambria" w:cs="Calibri"/>
                <w:b/>
                <w:bCs/>
                <w:color w:val="000000"/>
                <w:sz w:val="20"/>
                <w:szCs w:val="20"/>
              </w:rPr>
            </w:pPr>
            <w:r w:rsidRPr="00483EED">
              <w:rPr>
                <w:rFonts w:ascii="Cambria" w:eastAsia="Times New Roman" w:hAnsi="Cambria" w:cs="Calibri"/>
                <w:b/>
                <w:bCs/>
                <w:color w:val="000000"/>
                <w:sz w:val="20"/>
                <w:szCs w:val="20"/>
              </w:rPr>
              <w:t>14-B00-015</w:t>
            </w:r>
          </w:p>
        </w:tc>
        <w:tc>
          <w:tcPr>
            <w:tcW w:w="2660" w:type="dxa"/>
            <w:tcBorders>
              <w:top w:val="nil"/>
              <w:left w:val="nil"/>
              <w:bottom w:val="single" w:sz="4" w:space="0" w:color="auto"/>
              <w:right w:val="single" w:sz="4" w:space="0" w:color="auto"/>
            </w:tcBorders>
            <w:shd w:val="clear" w:color="000000" w:fill="FFFFFF"/>
            <w:vAlign w:val="center"/>
            <w:hideMark/>
          </w:tcPr>
          <w:p w:rsidR="00483EED" w:rsidRPr="00483EED" w:rsidRDefault="00483EED" w:rsidP="00483EED">
            <w:pPr>
              <w:spacing w:after="0" w:line="240" w:lineRule="auto"/>
              <w:jc w:val="center"/>
              <w:rPr>
                <w:rFonts w:ascii="Cambria" w:eastAsia="Times New Roman" w:hAnsi="Cambria" w:cs="Calibri"/>
                <w:b/>
                <w:bCs/>
                <w:color w:val="000000"/>
                <w:sz w:val="24"/>
                <w:szCs w:val="24"/>
              </w:rPr>
            </w:pPr>
            <w:proofErr w:type="spellStart"/>
            <w:r w:rsidRPr="00483EED">
              <w:rPr>
                <w:rFonts w:ascii="Cambria" w:eastAsia="Times New Roman" w:hAnsi="Cambria" w:cs="Calibri"/>
                <w:b/>
                <w:bCs/>
                <w:color w:val="000000"/>
                <w:sz w:val="24"/>
                <w:szCs w:val="24"/>
              </w:rPr>
              <w:t>Lidocaine</w:t>
            </w:r>
            <w:proofErr w:type="spellEnd"/>
            <w:r w:rsidRPr="00483EED">
              <w:rPr>
                <w:rFonts w:ascii="Cambria" w:eastAsia="Times New Roman" w:hAnsi="Cambria" w:cs="Calibri"/>
                <w:b/>
                <w:bCs/>
                <w:color w:val="000000"/>
                <w:sz w:val="24"/>
                <w:szCs w:val="24"/>
              </w:rPr>
              <w:t xml:space="preserve"> HCL  2% (20 mg/ml) + Epinephrine as  </w:t>
            </w:r>
            <w:proofErr w:type="spellStart"/>
            <w:r w:rsidRPr="00483EED">
              <w:rPr>
                <w:rFonts w:ascii="Cambria" w:eastAsia="Times New Roman" w:hAnsi="Cambria" w:cs="Calibri"/>
                <w:b/>
                <w:bCs/>
                <w:color w:val="000000"/>
                <w:sz w:val="24"/>
                <w:szCs w:val="24"/>
              </w:rPr>
              <w:t>bitartrate</w:t>
            </w:r>
            <w:proofErr w:type="spellEnd"/>
            <w:r w:rsidRPr="00483EED">
              <w:rPr>
                <w:rFonts w:ascii="Cambria" w:eastAsia="Times New Roman" w:hAnsi="Cambria" w:cs="Calibri"/>
                <w:b/>
                <w:bCs/>
                <w:color w:val="000000"/>
                <w:sz w:val="24"/>
                <w:szCs w:val="24"/>
              </w:rPr>
              <w:t xml:space="preserve"> 1: 80000 ( 0.0125 mg / ml ) cartridges  (1.7- 2.2 ) ml</w:t>
            </w:r>
          </w:p>
        </w:tc>
        <w:tc>
          <w:tcPr>
            <w:tcW w:w="166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 </w:t>
            </w:r>
          </w:p>
        </w:tc>
        <w:tc>
          <w:tcPr>
            <w:tcW w:w="128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jc w:val="right"/>
              <w:rPr>
                <w:rFonts w:ascii="Calibri" w:eastAsia="Times New Roman" w:hAnsi="Calibri" w:cs="Calibri"/>
                <w:b/>
                <w:bCs/>
                <w:color w:val="000000"/>
              </w:rPr>
            </w:pPr>
            <w:r w:rsidRPr="00483EED">
              <w:rPr>
                <w:rFonts w:ascii="Calibri" w:eastAsia="Times New Roman" w:hAnsi="Calibri" w:cs="Calibri"/>
                <w:b/>
                <w:bCs/>
                <w:color w:val="000000"/>
              </w:rPr>
              <w:t>5543420</w:t>
            </w:r>
          </w:p>
        </w:tc>
        <w:tc>
          <w:tcPr>
            <w:tcW w:w="98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sz w:val="18"/>
                <w:szCs w:val="18"/>
              </w:rPr>
            </w:pPr>
            <w:r w:rsidRPr="00483EED">
              <w:rPr>
                <w:rFonts w:ascii="Calibri" w:eastAsia="Times New Roman" w:hAnsi="Calibri" w:cs="Calibri"/>
                <w:b/>
                <w:bCs/>
                <w:color w:val="000000"/>
                <w:sz w:val="18"/>
                <w:szCs w:val="18"/>
              </w:rPr>
              <w:t xml:space="preserve">50 </w:t>
            </w:r>
            <w:proofErr w:type="spellStart"/>
            <w:r w:rsidRPr="00483EED">
              <w:rPr>
                <w:rFonts w:ascii="Calibri" w:eastAsia="Times New Roman" w:hAnsi="Calibri" w:cs="Calibri"/>
                <w:b/>
                <w:bCs/>
                <w:color w:val="000000"/>
                <w:sz w:val="18"/>
                <w:szCs w:val="18"/>
              </w:rPr>
              <w:t>carpoul</w:t>
            </w:r>
            <w:proofErr w:type="spellEnd"/>
          </w:p>
        </w:tc>
        <w:tc>
          <w:tcPr>
            <w:tcW w:w="92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16.64 $</w:t>
            </w:r>
          </w:p>
        </w:tc>
        <w:tc>
          <w:tcPr>
            <w:tcW w:w="80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11.65 $</w:t>
            </w:r>
          </w:p>
        </w:tc>
        <w:tc>
          <w:tcPr>
            <w:tcW w:w="80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7.48 $</w:t>
            </w:r>
          </w:p>
        </w:tc>
        <w:tc>
          <w:tcPr>
            <w:tcW w:w="78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4.16 $</w:t>
            </w:r>
          </w:p>
        </w:tc>
      </w:tr>
      <w:tr w:rsidR="00483EED" w:rsidRPr="00483EED" w:rsidTr="00483EED">
        <w:trPr>
          <w:trHeight w:val="393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jc w:val="center"/>
              <w:rPr>
                <w:rFonts w:ascii="Calibri" w:eastAsia="Times New Roman" w:hAnsi="Calibri" w:cs="Calibri"/>
                <w:color w:val="000000"/>
              </w:rPr>
            </w:pPr>
            <w:r w:rsidRPr="00483EED">
              <w:rPr>
                <w:rFonts w:ascii="Calibri" w:eastAsia="Times New Roman" w:hAnsi="Calibri" w:cs="Calibri"/>
                <w:color w:val="000000"/>
              </w:rPr>
              <w:t>5</w:t>
            </w:r>
          </w:p>
        </w:tc>
        <w:tc>
          <w:tcPr>
            <w:tcW w:w="150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jc w:val="center"/>
              <w:rPr>
                <w:rFonts w:ascii="Cambria" w:eastAsia="Times New Roman" w:hAnsi="Cambria" w:cs="Calibri"/>
                <w:b/>
                <w:bCs/>
                <w:color w:val="000000"/>
                <w:sz w:val="20"/>
                <w:szCs w:val="20"/>
              </w:rPr>
            </w:pPr>
            <w:r w:rsidRPr="00483EED">
              <w:rPr>
                <w:rFonts w:ascii="Cambria" w:eastAsia="Times New Roman" w:hAnsi="Cambria" w:cs="Calibri"/>
                <w:b/>
                <w:bCs/>
                <w:color w:val="000000"/>
                <w:sz w:val="20"/>
                <w:szCs w:val="20"/>
              </w:rPr>
              <w:t>17-000-020</w:t>
            </w:r>
          </w:p>
        </w:tc>
        <w:tc>
          <w:tcPr>
            <w:tcW w:w="2660" w:type="dxa"/>
            <w:tcBorders>
              <w:top w:val="nil"/>
              <w:left w:val="nil"/>
              <w:bottom w:val="single" w:sz="4" w:space="0" w:color="auto"/>
              <w:right w:val="single" w:sz="4" w:space="0" w:color="auto"/>
            </w:tcBorders>
            <w:shd w:val="clear" w:color="000000" w:fill="FFFFFF"/>
            <w:vAlign w:val="center"/>
            <w:hideMark/>
          </w:tcPr>
          <w:p w:rsidR="00483EED" w:rsidRPr="00483EED" w:rsidRDefault="00483EED" w:rsidP="00483EED">
            <w:pPr>
              <w:spacing w:after="0" w:line="240" w:lineRule="auto"/>
              <w:jc w:val="center"/>
              <w:rPr>
                <w:rFonts w:ascii="Cambria" w:eastAsia="Times New Roman" w:hAnsi="Cambria" w:cs="Calibri"/>
                <w:b/>
                <w:bCs/>
                <w:color w:val="000000"/>
              </w:rPr>
            </w:pPr>
            <w:proofErr w:type="spellStart"/>
            <w:r w:rsidRPr="00483EED">
              <w:rPr>
                <w:rFonts w:ascii="Cambria" w:eastAsia="Times New Roman" w:hAnsi="Cambria" w:cs="Calibri"/>
                <w:b/>
                <w:bCs/>
                <w:color w:val="000000"/>
              </w:rPr>
              <w:t>Desferrioxamine</w:t>
            </w:r>
            <w:proofErr w:type="spellEnd"/>
            <w:r w:rsidRPr="00483EED">
              <w:rPr>
                <w:rFonts w:ascii="Cambria" w:eastAsia="Times New Roman" w:hAnsi="Cambria" w:cs="Calibri"/>
                <w:b/>
                <w:bCs/>
                <w:color w:val="000000"/>
              </w:rPr>
              <w:t xml:space="preserve"> </w:t>
            </w:r>
            <w:proofErr w:type="spellStart"/>
            <w:r w:rsidRPr="00483EED">
              <w:rPr>
                <w:rFonts w:ascii="Cambria" w:eastAsia="Times New Roman" w:hAnsi="Cambria" w:cs="Calibri"/>
                <w:b/>
                <w:bCs/>
                <w:color w:val="000000"/>
              </w:rPr>
              <w:t>mesylate</w:t>
            </w:r>
            <w:proofErr w:type="spellEnd"/>
            <w:r w:rsidRPr="00483EED">
              <w:rPr>
                <w:rFonts w:ascii="Cambria" w:eastAsia="Times New Roman" w:hAnsi="Cambria" w:cs="Calibri"/>
                <w:b/>
                <w:bCs/>
                <w:color w:val="000000"/>
              </w:rPr>
              <w:t xml:space="preserve"> 2g </w:t>
            </w:r>
            <w:r w:rsidRPr="00483EED">
              <w:rPr>
                <w:rFonts w:ascii="Cambria" w:eastAsia="Times New Roman" w:hAnsi="Cambria" w:cs="Calibri"/>
                <w:b/>
                <w:bCs/>
                <w:color w:val="FF0000"/>
              </w:rPr>
              <w:t>vial for</w:t>
            </w:r>
            <w:r w:rsidRPr="00483EED">
              <w:rPr>
                <w:rFonts w:ascii="Cambria" w:eastAsia="Times New Roman" w:hAnsi="Cambria" w:cs="Calibri"/>
                <w:b/>
                <w:bCs/>
                <w:color w:val="000000"/>
              </w:rPr>
              <w:t xml:space="preserve"> Injection</w:t>
            </w:r>
          </w:p>
        </w:tc>
        <w:tc>
          <w:tcPr>
            <w:tcW w:w="1660" w:type="dxa"/>
            <w:tcBorders>
              <w:top w:val="nil"/>
              <w:left w:val="nil"/>
              <w:bottom w:val="single" w:sz="4" w:space="0" w:color="auto"/>
              <w:right w:val="single" w:sz="4" w:space="0" w:color="auto"/>
            </w:tcBorders>
            <w:shd w:val="clear" w:color="auto" w:fill="auto"/>
            <w:vAlign w:val="center"/>
            <w:hideMark/>
          </w:tcPr>
          <w:p w:rsidR="00483EED" w:rsidRPr="00483EED" w:rsidRDefault="00483EED" w:rsidP="00483EED">
            <w:pPr>
              <w:bidi/>
              <w:spacing w:after="0" w:line="240" w:lineRule="auto"/>
              <w:rPr>
                <w:rFonts w:ascii="Calibri" w:eastAsia="Times New Roman" w:hAnsi="Calibri" w:cs="Calibri"/>
                <w:b/>
                <w:bCs/>
                <w:color w:val="000000"/>
              </w:rPr>
            </w:pPr>
            <w:r w:rsidRPr="00483EED">
              <w:rPr>
                <w:rFonts w:ascii="Calibri" w:eastAsia="Times New Roman" w:hAnsi="Calibri" w:cs="Calibri"/>
                <w:b/>
                <w:bCs/>
                <w:color w:val="000000"/>
                <w:rtl/>
              </w:rPr>
              <w:t>احتياج طويل الامد (2022-2026)  يتم تثبيت الاحتياج من قبل المركز الاستشاري لاستعلامات السموم حصرا + ذي قار</w:t>
            </w:r>
            <w:r w:rsidRPr="00483EED">
              <w:rPr>
                <w:rFonts w:ascii="Calibri" w:eastAsia="Times New Roman" w:hAnsi="Calibri" w:cs="Calibri"/>
                <w:b/>
                <w:bCs/>
                <w:color w:val="000000"/>
                <w:rtl/>
              </w:rPr>
              <w:br/>
              <w:t>+مستشفى بغداد التعليمي/ شعبة امراض الدم وحسب دواعي الاستخدام المثبتة</w:t>
            </w:r>
            <w:r w:rsidRPr="00483EED">
              <w:rPr>
                <w:rFonts w:ascii="Calibri" w:eastAsia="Times New Roman" w:hAnsi="Calibri" w:cs="Calibri"/>
                <w:b/>
                <w:bCs/>
                <w:color w:val="000000"/>
                <w:rtl/>
              </w:rPr>
              <w:br/>
              <w:t>1038ج/</w:t>
            </w:r>
          </w:p>
        </w:tc>
        <w:tc>
          <w:tcPr>
            <w:tcW w:w="1280" w:type="dxa"/>
            <w:tcBorders>
              <w:top w:val="nil"/>
              <w:left w:val="nil"/>
              <w:bottom w:val="single" w:sz="4" w:space="0" w:color="auto"/>
              <w:right w:val="single" w:sz="4" w:space="0" w:color="auto"/>
            </w:tcBorders>
            <w:shd w:val="clear" w:color="auto" w:fill="auto"/>
            <w:noWrap/>
            <w:vAlign w:val="center"/>
            <w:hideMark/>
          </w:tcPr>
          <w:p w:rsidR="00483EED" w:rsidRPr="00483EED" w:rsidRDefault="00483EED" w:rsidP="00483EED">
            <w:pPr>
              <w:spacing w:after="0" w:line="240" w:lineRule="auto"/>
              <w:jc w:val="right"/>
              <w:rPr>
                <w:rFonts w:ascii="Calibri" w:eastAsia="Times New Roman" w:hAnsi="Calibri" w:cs="Calibri"/>
                <w:b/>
                <w:bCs/>
                <w:color w:val="000000"/>
              </w:rPr>
            </w:pPr>
            <w:r w:rsidRPr="00483EED">
              <w:rPr>
                <w:rFonts w:ascii="Calibri" w:eastAsia="Times New Roman" w:hAnsi="Calibri" w:cs="Calibri"/>
                <w:b/>
                <w:bCs/>
                <w:color w:val="000000"/>
              </w:rPr>
              <w:t>800</w:t>
            </w:r>
          </w:p>
        </w:tc>
        <w:tc>
          <w:tcPr>
            <w:tcW w:w="98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sz w:val="18"/>
                <w:szCs w:val="18"/>
              </w:rPr>
            </w:pPr>
            <w:r w:rsidRPr="00483EED">
              <w:rPr>
                <w:rFonts w:ascii="Calibri" w:eastAsia="Times New Roman" w:hAnsi="Calibri" w:cs="Calibri"/>
                <w:b/>
                <w:bCs/>
                <w:color w:val="000000"/>
                <w:sz w:val="18"/>
                <w:szCs w:val="18"/>
              </w:rPr>
              <w:t>1vial</w:t>
            </w:r>
          </w:p>
        </w:tc>
        <w:tc>
          <w:tcPr>
            <w:tcW w:w="92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22.6 $</w:t>
            </w:r>
          </w:p>
        </w:tc>
        <w:tc>
          <w:tcPr>
            <w:tcW w:w="80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15.82 $</w:t>
            </w:r>
          </w:p>
        </w:tc>
        <w:tc>
          <w:tcPr>
            <w:tcW w:w="80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10.17 $</w:t>
            </w:r>
          </w:p>
        </w:tc>
        <w:tc>
          <w:tcPr>
            <w:tcW w:w="780" w:type="dxa"/>
            <w:tcBorders>
              <w:top w:val="nil"/>
              <w:left w:val="nil"/>
              <w:bottom w:val="single" w:sz="4" w:space="0" w:color="auto"/>
              <w:right w:val="single" w:sz="4" w:space="0" w:color="auto"/>
            </w:tcBorders>
            <w:shd w:val="clear" w:color="000000" w:fill="FFFFFF"/>
            <w:noWrap/>
            <w:vAlign w:val="center"/>
            <w:hideMark/>
          </w:tcPr>
          <w:p w:rsidR="00483EED" w:rsidRPr="00483EED" w:rsidRDefault="00483EED" w:rsidP="00483EED">
            <w:pPr>
              <w:spacing w:after="0" w:line="240" w:lineRule="auto"/>
              <w:rPr>
                <w:rFonts w:ascii="Calibri" w:eastAsia="Times New Roman" w:hAnsi="Calibri" w:cs="Calibri"/>
                <w:b/>
                <w:bCs/>
                <w:color w:val="000000"/>
              </w:rPr>
            </w:pPr>
            <w:r w:rsidRPr="00483EED">
              <w:rPr>
                <w:rFonts w:ascii="Calibri" w:eastAsia="Times New Roman" w:hAnsi="Calibri" w:cs="Calibri"/>
                <w:b/>
                <w:bCs/>
                <w:color w:val="000000"/>
              </w:rPr>
              <w:t>5.65 $</w:t>
            </w:r>
          </w:p>
        </w:tc>
      </w:tr>
    </w:tbl>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lastRenderedPageBreak/>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w:t>
            </w:r>
            <w:r w:rsidRPr="008D12BA">
              <w:rPr>
                <w:rFonts w:ascii="Arial Narrow" w:hAnsi="Arial Narrow"/>
                <w:sz w:val="24"/>
                <w:szCs w:val="24"/>
              </w:rPr>
              <w:lastRenderedPageBreak/>
              <w:t>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483EE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483EED">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483EED">
              <w:rPr>
                <w:rFonts w:ascii="Arial" w:hAnsi="Arial"/>
                <w:b/>
                <w:spacing w:val="-2"/>
                <w:sz w:val="24"/>
                <w:szCs w:val="24"/>
                <w:highlight w:val="cyan"/>
              </w:rPr>
              <w:t>Ba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483EED">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483EED">
              <w:rPr>
                <w:rFonts w:ascii="Arial" w:hAnsi="Arial"/>
                <w:bCs/>
                <w:spacing w:val="-2"/>
                <w:sz w:val="24"/>
                <w:szCs w:val="24"/>
              </w:rPr>
              <w:t>3Ba</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483EED">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483EED">
              <w:rPr>
                <w:rFonts w:ascii="Arial" w:hAnsi="Arial"/>
                <w:b/>
                <w:sz w:val="24"/>
                <w:szCs w:val="24"/>
                <w:highlight w:val="yellow"/>
                <w:lang w:val="en-GB"/>
              </w:rPr>
              <w:t>1</w:t>
            </w:r>
            <w:r w:rsidRPr="004D22E1">
              <w:rPr>
                <w:rFonts w:ascii="Arial" w:hAnsi="Arial"/>
                <w:b/>
                <w:sz w:val="24"/>
                <w:szCs w:val="24"/>
                <w:highlight w:val="yellow"/>
                <w:lang w:val="en-GB"/>
              </w:rPr>
              <w:t xml:space="preserve"> /  </w:t>
            </w:r>
            <w:r w:rsidR="00483EED">
              <w:rPr>
                <w:rFonts w:ascii="Arial" w:hAnsi="Arial"/>
                <w:b/>
                <w:sz w:val="24"/>
                <w:szCs w:val="24"/>
                <w:highlight w:val="yellow"/>
                <w:lang w:val="en-GB"/>
              </w:rPr>
              <w:t>4</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483EE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83EED">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214A79">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483EE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483EED">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r w:rsidR="00483EED">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483EED">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483EED">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483EED">
              <w:rPr>
                <w:rFonts w:ascii="Arial" w:hAnsi="Arial"/>
                <w:bCs/>
                <w:spacing w:val="-2"/>
                <w:sz w:val="24"/>
                <w:szCs w:val="24"/>
              </w:rPr>
              <w:t>Ba</w:t>
            </w:r>
          </w:p>
          <w:p w:rsidR="00672659" w:rsidRPr="004D22E1" w:rsidRDefault="00672659" w:rsidP="00483EED">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483EED">
              <w:rPr>
                <w:rFonts w:ascii="Arial" w:hAnsi="Arial"/>
                <w:bCs/>
                <w:spacing w:val="-2"/>
                <w:sz w:val="24"/>
                <w:szCs w:val="24"/>
                <w:u w:val="single"/>
              </w:rPr>
              <w:t>3Ba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483EED">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483EED">
              <w:rPr>
                <w:rFonts w:ascii="Arial" w:hAnsi="Arial"/>
                <w:sz w:val="24"/>
                <w:szCs w:val="24"/>
                <w:highlight w:val="yellow"/>
                <w:lang w:val="en-GB"/>
              </w:rPr>
              <w:t>7</w:t>
            </w:r>
            <w:r w:rsidRPr="008C600C">
              <w:rPr>
                <w:rFonts w:ascii="Arial" w:hAnsi="Arial"/>
                <w:sz w:val="24"/>
                <w:szCs w:val="24"/>
                <w:highlight w:val="yellow"/>
                <w:lang w:val="en-GB"/>
              </w:rPr>
              <w:t xml:space="preserve"> /    </w:t>
            </w:r>
            <w:r w:rsidR="00D54D82">
              <w:rPr>
                <w:rFonts w:ascii="Arial" w:hAnsi="Arial"/>
                <w:sz w:val="24"/>
                <w:szCs w:val="24"/>
                <w:highlight w:val="yellow"/>
                <w:lang w:val="en-GB"/>
              </w:rPr>
              <w:t>4</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483EED">
            <w:pPr>
              <w:spacing w:line="240" w:lineRule="exact"/>
              <w:rPr>
                <w:rFonts w:ascii="Arial" w:hAnsi="Arial"/>
                <w:bCs/>
                <w:sz w:val="24"/>
                <w:szCs w:val="24"/>
                <w:lang w:val="en-GB"/>
              </w:rPr>
            </w:pPr>
            <w:r w:rsidRPr="004D22E1">
              <w:rPr>
                <w:rFonts w:ascii="Arial" w:hAnsi="Arial"/>
                <w:bCs/>
                <w:sz w:val="24"/>
                <w:szCs w:val="24"/>
                <w:lang w:val="en-GB"/>
              </w:rPr>
              <w:t xml:space="preserve">Date: [    </w:t>
            </w:r>
            <w:r w:rsidR="00483EED">
              <w:rPr>
                <w:rFonts w:ascii="Arial" w:hAnsi="Arial"/>
                <w:bCs/>
                <w:sz w:val="24"/>
                <w:szCs w:val="24"/>
                <w:lang w:val="en-GB"/>
              </w:rPr>
              <w:t>8</w:t>
            </w:r>
            <w:r w:rsidRPr="004D22E1">
              <w:rPr>
                <w:rFonts w:ascii="Arial" w:hAnsi="Arial"/>
                <w:bCs/>
                <w:sz w:val="24"/>
                <w:szCs w:val="24"/>
                <w:lang w:val="en-GB"/>
              </w:rPr>
              <w:t xml:space="preserve">–  </w:t>
            </w:r>
            <w:r w:rsidR="00D54D82">
              <w:rPr>
                <w:rFonts w:ascii="Arial" w:hAnsi="Arial"/>
                <w:bCs/>
                <w:sz w:val="24"/>
                <w:szCs w:val="24"/>
                <w:lang w:val="en-GB"/>
              </w:rPr>
              <w:t>4</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4810F1">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810F1">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4810F1">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83EED" w:rsidRPr="00233B59" w:rsidTr="00860389">
        <w:trPr>
          <w:trHeight w:val="1609"/>
        </w:trPr>
        <w:tc>
          <w:tcPr>
            <w:tcW w:w="189" w:type="pct"/>
            <w:shd w:val="clear" w:color="auto" w:fill="F2F2F2"/>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83EED" w:rsidRDefault="00483EE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83EED" w:rsidRDefault="00483EED">
            <w:pPr>
              <w:jc w:val="center"/>
              <w:rPr>
                <w:rFonts w:ascii="Cambria" w:hAnsi="Cambria" w:cs="Calibri"/>
                <w:b/>
                <w:bCs/>
                <w:sz w:val="20"/>
                <w:szCs w:val="20"/>
              </w:rPr>
            </w:pPr>
            <w:r>
              <w:rPr>
                <w:rFonts w:ascii="Cambria" w:hAnsi="Cambria" w:cs="Calibri"/>
                <w:b/>
                <w:bCs/>
                <w:sz w:val="20"/>
                <w:szCs w:val="20"/>
              </w:rPr>
              <w:t>02-E00-011</w:t>
            </w:r>
          </w:p>
        </w:tc>
        <w:tc>
          <w:tcPr>
            <w:tcW w:w="303" w:type="pct"/>
            <w:shd w:val="clear" w:color="auto" w:fill="F2F2F2"/>
            <w:vAlign w:val="center"/>
          </w:tcPr>
          <w:p w:rsidR="00483EED" w:rsidRDefault="00483EED">
            <w:pPr>
              <w:rPr>
                <w:rFonts w:ascii="Cambria" w:hAnsi="Cambria" w:cs="Calibri"/>
                <w:b/>
                <w:bCs/>
                <w:color w:val="000000"/>
                <w:sz w:val="24"/>
                <w:szCs w:val="24"/>
              </w:rPr>
            </w:pPr>
            <w:proofErr w:type="spellStart"/>
            <w:r>
              <w:rPr>
                <w:rFonts w:ascii="Cambria" w:hAnsi="Cambria" w:cs="Calibri"/>
                <w:b/>
                <w:bCs/>
                <w:color w:val="000000"/>
              </w:rPr>
              <w:t>Mesalazineenema</w:t>
            </w:r>
            <w:proofErr w:type="spellEnd"/>
            <w:r>
              <w:rPr>
                <w:rFonts w:ascii="Cambria" w:hAnsi="Cambria" w:cs="Calibri"/>
                <w:b/>
                <w:bCs/>
                <w:color w:val="000000"/>
              </w:rPr>
              <w:t xml:space="preserve"> (suspension 1gm/100ml </w:t>
            </w:r>
            <w:r>
              <w:rPr>
                <w:rFonts w:ascii="Cambria" w:hAnsi="Cambria" w:cs="Calibri"/>
                <w:b/>
                <w:bCs/>
                <w:color w:val="FF0000"/>
              </w:rPr>
              <w:t>or foam 1gm/application)</w:t>
            </w:r>
          </w:p>
        </w:tc>
        <w:tc>
          <w:tcPr>
            <w:tcW w:w="184"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83EED" w:rsidRDefault="00483EE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83EED" w:rsidRPr="00233B59" w:rsidTr="00860389">
        <w:trPr>
          <w:trHeight w:val="1609"/>
        </w:trPr>
        <w:tc>
          <w:tcPr>
            <w:tcW w:w="189" w:type="pct"/>
            <w:shd w:val="clear" w:color="auto" w:fill="F2F2F2"/>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83EED" w:rsidRDefault="00483EE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83EED" w:rsidRDefault="00483EED">
            <w:pPr>
              <w:jc w:val="center"/>
              <w:rPr>
                <w:rFonts w:ascii="Cambria" w:hAnsi="Cambria" w:cs="Calibri"/>
                <w:b/>
                <w:bCs/>
                <w:color w:val="000000"/>
                <w:sz w:val="20"/>
                <w:szCs w:val="20"/>
              </w:rPr>
            </w:pPr>
            <w:r>
              <w:rPr>
                <w:rFonts w:ascii="Cambria" w:hAnsi="Cambria" w:cs="Calibri"/>
                <w:b/>
                <w:bCs/>
                <w:color w:val="000000"/>
                <w:sz w:val="20"/>
                <w:szCs w:val="20"/>
              </w:rPr>
              <w:t>04-CA0-002</w:t>
            </w:r>
          </w:p>
        </w:tc>
        <w:tc>
          <w:tcPr>
            <w:tcW w:w="303" w:type="pct"/>
            <w:shd w:val="clear" w:color="auto" w:fill="F2F2F2"/>
            <w:vAlign w:val="center"/>
          </w:tcPr>
          <w:p w:rsidR="00483EED" w:rsidRDefault="00483EED">
            <w:pPr>
              <w:jc w:val="center"/>
              <w:rPr>
                <w:rFonts w:ascii="Cambria" w:hAnsi="Cambria" w:cs="Calibri"/>
                <w:b/>
                <w:bCs/>
                <w:color w:val="000000"/>
              </w:rPr>
            </w:pPr>
            <w:r>
              <w:rPr>
                <w:rFonts w:ascii="Cambria" w:hAnsi="Cambria" w:cs="Calibri"/>
                <w:b/>
                <w:bCs/>
                <w:color w:val="000000"/>
              </w:rPr>
              <w:t xml:space="preserve">Amitriptyline </w:t>
            </w:r>
            <w:proofErr w:type="spellStart"/>
            <w:r>
              <w:rPr>
                <w:rFonts w:ascii="Cambria" w:hAnsi="Cambria" w:cs="Calibri"/>
                <w:b/>
                <w:bCs/>
                <w:color w:val="000000"/>
              </w:rPr>
              <w:t>Hcl</w:t>
            </w:r>
            <w:proofErr w:type="spellEnd"/>
            <w:r>
              <w:rPr>
                <w:rFonts w:ascii="Cambria" w:hAnsi="Cambria" w:cs="Calibri"/>
                <w:b/>
                <w:bCs/>
                <w:color w:val="000000"/>
              </w:rPr>
              <w:t xml:space="preserve">  25mg Tablet</w:t>
            </w:r>
          </w:p>
        </w:tc>
        <w:tc>
          <w:tcPr>
            <w:tcW w:w="184"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83EED" w:rsidRDefault="00483EE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83EED" w:rsidRPr="00233B59" w:rsidTr="00860389">
        <w:trPr>
          <w:trHeight w:val="1609"/>
        </w:trPr>
        <w:tc>
          <w:tcPr>
            <w:tcW w:w="189" w:type="pct"/>
            <w:shd w:val="clear" w:color="auto" w:fill="F2F2F2"/>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83EED" w:rsidRDefault="00483EE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83EED" w:rsidRDefault="00483EED">
            <w:pPr>
              <w:jc w:val="center"/>
              <w:rPr>
                <w:rFonts w:ascii="Cambria" w:hAnsi="Cambria" w:cs="Calibri"/>
                <w:b/>
                <w:bCs/>
                <w:color w:val="000000"/>
                <w:sz w:val="20"/>
                <w:szCs w:val="20"/>
              </w:rPr>
            </w:pPr>
            <w:r>
              <w:rPr>
                <w:rFonts w:ascii="Cambria" w:hAnsi="Cambria" w:cs="Calibri"/>
                <w:b/>
                <w:bCs/>
                <w:color w:val="000000"/>
                <w:sz w:val="20"/>
                <w:szCs w:val="20"/>
              </w:rPr>
              <w:t>09-D00-067</w:t>
            </w:r>
          </w:p>
        </w:tc>
        <w:tc>
          <w:tcPr>
            <w:tcW w:w="303" w:type="pct"/>
            <w:shd w:val="clear" w:color="auto" w:fill="F2F2F2"/>
            <w:vAlign w:val="center"/>
          </w:tcPr>
          <w:p w:rsidR="00483EED" w:rsidRDefault="00483EED">
            <w:pPr>
              <w:jc w:val="center"/>
              <w:rPr>
                <w:rFonts w:ascii="Cambria" w:hAnsi="Cambria" w:cs="Calibri"/>
                <w:b/>
                <w:bCs/>
                <w:color w:val="000000"/>
              </w:rPr>
            </w:pPr>
            <w:r>
              <w:rPr>
                <w:rFonts w:ascii="Cambria" w:hAnsi="Cambria" w:cs="Calibri"/>
                <w:b/>
                <w:bCs/>
                <w:color w:val="000000"/>
              </w:rPr>
              <w:t xml:space="preserve">Sodium chloride 3% </w:t>
            </w:r>
            <w:proofErr w:type="spellStart"/>
            <w:r>
              <w:rPr>
                <w:rFonts w:ascii="Cambria" w:hAnsi="Cambria" w:cs="Calibri"/>
                <w:b/>
                <w:bCs/>
                <w:color w:val="000000"/>
              </w:rPr>
              <w:t>hypretonic</w:t>
            </w:r>
            <w:proofErr w:type="spellEnd"/>
            <w:r>
              <w:rPr>
                <w:rFonts w:ascii="Cambria" w:hAnsi="Cambria" w:cs="Calibri"/>
                <w:b/>
                <w:bCs/>
                <w:color w:val="000000"/>
              </w:rPr>
              <w:t xml:space="preserve"> saline 200ml  or 250ml </w:t>
            </w:r>
            <w:r>
              <w:rPr>
                <w:rFonts w:ascii="Cambria" w:hAnsi="Cambria" w:cs="Calibri"/>
                <w:b/>
                <w:bCs/>
                <w:color w:val="FF0000"/>
              </w:rPr>
              <w:t>bottle or bag</w:t>
            </w:r>
          </w:p>
        </w:tc>
        <w:tc>
          <w:tcPr>
            <w:tcW w:w="184"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83EED" w:rsidRDefault="00483EE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83EED" w:rsidRPr="00233B59" w:rsidTr="00860389">
        <w:trPr>
          <w:trHeight w:val="1609"/>
        </w:trPr>
        <w:tc>
          <w:tcPr>
            <w:tcW w:w="189" w:type="pct"/>
            <w:shd w:val="clear" w:color="auto" w:fill="F2F2F2"/>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83EED" w:rsidRDefault="00483EE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83EED" w:rsidRDefault="00483EED">
            <w:pPr>
              <w:jc w:val="center"/>
              <w:rPr>
                <w:rFonts w:ascii="Cambria" w:hAnsi="Cambria" w:cs="Calibri"/>
                <w:b/>
                <w:bCs/>
                <w:color w:val="000000"/>
                <w:sz w:val="20"/>
                <w:szCs w:val="20"/>
              </w:rPr>
            </w:pPr>
            <w:r>
              <w:rPr>
                <w:rFonts w:ascii="Cambria" w:hAnsi="Cambria" w:cs="Calibri"/>
                <w:b/>
                <w:bCs/>
                <w:color w:val="000000"/>
                <w:sz w:val="20"/>
                <w:szCs w:val="20"/>
              </w:rPr>
              <w:t>14-B00-015</w:t>
            </w:r>
          </w:p>
        </w:tc>
        <w:tc>
          <w:tcPr>
            <w:tcW w:w="303" w:type="pct"/>
            <w:shd w:val="clear" w:color="auto" w:fill="F2F2F2"/>
            <w:vAlign w:val="center"/>
          </w:tcPr>
          <w:p w:rsidR="00483EED" w:rsidRDefault="00483EED">
            <w:pPr>
              <w:jc w:val="center"/>
              <w:rPr>
                <w:rFonts w:ascii="Cambria" w:hAnsi="Cambria" w:cs="Calibri"/>
                <w:b/>
                <w:bCs/>
                <w:color w:val="000000"/>
                <w:sz w:val="24"/>
                <w:szCs w:val="24"/>
              </w:rPr>
            </w:pPr>
            <w:proofErr w:type="spellStart"/>
            <w:r>
              <w:rPr>
                <w:rFonts w:ascii="Cambria" w:hAnsi="Cambria" w:cs="Calibri"/>
                <w:b/>
                <w:bCs/>
                <w:color w:val="000000"/>
              </w:rPr>
              <w:t>Lidocaine</w:t>
            </w:r>
            <w:proofErr w:type="spellEnd"/>
            <w:r>
              <w:rPr>
                <w:rFonts w:ascii="Cambria" w:hAnsi="Cambria" w:cs="Calibri"/>
                <w:b/>
                <w:bCs/>
                <w:color w:val="000000"/>
              </w:rPr>
              <w:t xml:space="preserve"> HCL  2% (20 mg/ml) + Epinephrine as  </w:t>
            </w:r>
            <w:proofErr w:type="spellStart"/>
            <w:r>
              <w:rPr>
                <w:rFonts w:ascii="Cambria" w:hAnsi="Cambria" w:cs="Calibri"/>
                <w:b/>
                <w:bCs/>
                <w:color w:val="000000"/>
              </w:rPr>
              <w:t>bitart</w:t>
            </w:r>
            <w:r>
              <w:rPr>
                <w:rFonts w:ascii="Cambria" w:hAnsi="Cambria" w:cs="Calibri"/>
                <w:b/>
                <w:bCs/>
                <w:color w:val="000000"/>
              </w:rPr>
              <w:lastRenderedPageBreak/>
              <w:t>rate</w:t>
            </w:r>
            <w:proofErr w:type="spellEnd"/>
            <w:r>
              <w:rPr>
                <w:rFonts w:ascii="Cambria" w:hAnsi="Cambria" w:cs="Calibri"/>
                <w:b/>
                <w:bCs/>
                <w:color w:val="000000"/>
              </w:rPr>
              <w:t xml:space="preserve"> 1: 80000 ( 0.0125 mg / ml ) cartridges  (1.7- 2.2 ) ml</w:t>
            </w:r>
          </w:p>
        </w:tc>
        <w:tc>
          <w:tcPr>
            <w:tcW w:w="184"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83EED" w:rsidRDefault="00483EE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483EED" w:rsidRPr="00233B59" w:rsidTr="00860389">
        <w:trPr>
          <w:trHeight w:val="1609"/>
        </w:trPr>
        <w:tc>
          <w:tcPr>
            <w:tcW w:w="189" w:type="pct"/>
            <w:shd w:val="clear" w:color="auto" w:fill="F2F2F2"/>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83EED" w:rsidRDefault="00483EED"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483EED" w:rsidRDefault="00483EED">
            <w:pPr>
              <w:jc w:val="center"/>
              <w:rPr>
                <w:rFonts w:ascii="Cambria" w:hAnsi="Cambria" w:cs="Calibri"/>
                <w:b/>
                <w:bCs/>
                <w:color w:val="000000"/>
                <w:sz w:val="20"/>
                <w:szCs w:val="20"/>
              </w:rPr>
            </w:pPr>
            <w:r>
              <w:rPr>
                <w:rFonts w:ascii="Cambria" w:hAnsi="Cambria" w:cs="Calibri"/>
                <w:b/>
                <w:bCs/>
                <w:color w:val="000000"/>
                <w:sz w:val="20"/>
                <w:szCs w:val="20"/>
              </w:rPr>
              <w:t>17-000-020</w:t>
            </w:r>
          </w:p>
        </w:tc>
        <w:tc>
          <w:tcPr>
            <w:tcW w:w="303" w:type="pct"/>
            <w:shd w:val="clear" w:color="auto" w:fill="F2F2F2"/>
            <w:vAlign w:val="center"/>
          </w:tcPr>
          <w:p w:rsidR="00483EED" w:rsidRDefault="00483EED">
            <w:pPr>
              <w:jc w:val="center"/>
              <w:rPr>
                <w:rFonts w:ascii="Cambria" w:hAnsi="Cambria" w:cs="Calibri"/>
                <w:b/>
                <w:bCs/>
                <w:color w:val="000000"/>
              </w:rPr>
            </w:pPr>
            <w:proofErr w:type="spellStart"/>
            <w:r>
              <w:rPr>
                <w:rFonts w:ascii="Cambria" w:hAnsi="Cambria" w:cs="Calibri"/>
                <w:b/>
                <w:bCs/>
                <w:color w:val="000000"/>
              </w:rPr>
              <w:t>Desferrioxamine</w:t>
            </w:r>
            <w:proofErr w:type="spellEnd"/>
            <w:r>
              <w:rPr>
                <w:rFonts w:ascii="Cambria" w:hAnsi="Cambria" w:cs="Calibri"/>
                <w:b/>
                <w:bCs/>
                <w:color w:val="000000"/>
              </w:rPr>
              <w:t xml:space="preserve"> </w:t>
            </w:r>
            <w:proofErr w:type="spellStart"/>
            <w:r>
              <w:rPr>
                <w:rFonts w:ascii="Cambria" w:hAnsi="Cambria" w:cs="Calibri"/>
                <w:b/>
                <w:bCs/>
                <w:color w:val="000000"/>
              </w:rPr>
              <w:t>mesylate</w:t>
            </w:r>
            <w:proofErr w:type="spellEnd"/>
            <w:r>
              <w:rPr>
                <w:rFonts w:ascii="Cambria" w:hAnsi="Cambria" w:cs="Calibri"/>
                <w:b/>
                <w:bCs/>
                <w:color w:val="000000"/>
              </w:rPr>
              <w:t xml:space="preserve"> 2g </w:t>
            </w:r>
            <w:r>
              <w:rPr>
                <w:rFonts w:ascii="Cambria" w:hAnsi="Cambria" w:cs="Calibri"/>
                <w:b/>
                <w:bCs/>
                <w:color w:val="FF0000"/>
              </w:rPr>
              <w:t>vial for</w:t>
            </w:r>
            <w:r>
              <w:rPr>
                <w:rFonts w:ascii="Cambria" w:hAnsi="Cambria" w:cs="Calibri"/>
                <w:b/>
                <w:bCs/>
                <w:color w:val="000000"/>
              </w:rPr>
              <w:t xml:space="preserve"> Injection</w:t>
            </w:r>
          </w:p>
        </w:tc>
        <w:tc>
          <w:tcPr>
            <w:tcW w:w="184"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83EED" w:rsidRDefault="00483EED"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83EED" w:rsidRDefault="00483EED"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83EED" w:rsidRPr="00233B59"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483EED" w:rsidRDefault="00483EED"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DCC" w:rsidRDefault="00913DCC" w:rsidP="00400881">
      <w:pPr>
        <w:spacing w:after="0" w:line="240" w:lineRule="auto"/>
      </w:pPr>
      <w:r>
        <w:separator/>
      </w:r>
    </w:p>
  </w:endnote>
  <w:endnote w:type="continuationSeparator" w:id="0">
    <w:p w:rsidR="00913DCC" w:rsidRDefault="00913DC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AB78B5" w:rsidRPr="00D1391E" w:rsidRDefault="00AB78B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83EED">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DCC" w:rsidRDefault="00913DCC" w:rsidP="00400881">
      <w:pPr>
        <w:spacing w:after="0" w:line="240" w:lineRule="auto"/>
      </w:pPr>
      <w:r>
        <w:separator/>
      </w:r>
    </w:p>
  </w:footnote>
  <w:footnote w:type="continuationSeparator" w:id="0">
    <w:p w:rsidR="00913DCC" w:rsidRDefault="00913DCC" w:rsidP="00400881">
      <w:pPr>
        <w:spacing w:after="0" w:line="240" w:lineRule="auto"/>
      </w:pPr>
      <w:r>
        <w:continuationSeparator/>
      </w:r>
    </w:p>
  </w:footnote>
  <w:footnote w:id="1">
    <w:p w:rsidR="00AB78B5" w:rsidRDefault="00AB78B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AB78B5" w:rsidRDefault="00AB78B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AB78B5" w:rsidRDefault="00AB78B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B78B5" w:rsidRDefault="00AB7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55C7"/>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6EDB"/>
    <w:rsid w:val="00126F30"/>
    <w:rsid w:val="00133B8B"/>
    <w:rsid w:val="00137410"/>
    <w:rsid w:val="00145566"/>
    <w:rsid w:val="00147A8A"/>
    <w:rsid w:val="001534BC"/>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3168"/>
    <w:rsid w:val="00214234"/>
    <w:rsid w:val="00214A79"/>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10F1"/>
    <w:rsid w:val="00483084"/>
    <w:rsid w:val="00483EED"/>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032A"/>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00A0"/>
    <w:rsid w:val="008B2009"/>
    <w:rsid w:val="008B3EFD"/>
    <w:rsid w:val="008B59A7"/>
    <w:rsid w:val="008B7483"/>
    <w:rsid w:val="008B7D65"/>
    <w:rsid w:val="008C1B20"/>
    <w:rsid w:val="008C1C09"/>
    <w:rsid w:val="008C37A1"/>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3DCC"/>
    <w:rsid w:val="00915D6D"/>
    <w:rsid w:val="00917086"/>
    <w:rsid w:val="00920564"/>
    <w:rsid w:val="00936A27"/>
    <w:rsid w:val="009438F1"/>
    <w:rsid w:val="0094552D"/>
    <w:rsid w:val="00954667"/>
    <w:rsid w:val="00955BC2"/>
    <w:rsid w:val="00964CB5"/>
    <w:rsid w:val="0097148F"/>
    <w:rsid w:val="00972FB8"/>
    <w:rsid w:val="009732EF"/>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2B16"/>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B78B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0D3F"/>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E39"/>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4D82"/>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0E2B"/>
    <w:rsid w:val="00EA5B25"/>
    <w:rsid w:val="00EC6693"/>
    <w:rsid w:val="00EC7A99"/>
    <w:rsid w:val="00EC7C54"/>
    <w:rsid w:val="00EC7EC3"/>
    <w:rsid w:val="00ED622E"/>
    <w:rsid w:val="00ED7F32"/>
    <w:rsid w:val="00EE0878"/>
    <w:rsid w:val="00EE5C8F"/>
    <w:rsid w:val="00EF03B0"/>
    <w:rsid w:val="00EF360C"/>
    <w:rsid w:val="00F0225B"/>
    <w:rsid w:val="00F03D1A"/>
    <w:rsid w:val="00F10C65"/>
    <w:rsid w:val="00F1702D"/>
    <w:rsid w:val="00F207B7"/>
    <w:rsid w:val="00F20CCC"/>
    <w:rsid w:val="00F21788"/>
    <w:rsid w:val="00F27793"/>
    <w:rsid w:val="00F359AA"/>
    <w:rsid w:val="00F35E7A"/>
    <w:rsid w:val="00F361F9"/>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54967456">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BF4E4-8E08-470D-9C65-6DD264734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135</Pages>
  <Words>35702</Words>
  <Characters>203507</Characters>
  <Application>Microsoft Office Word</Application>
  <DocSecurity>0</DocSecurity>
  <Lines>1695</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181</cp:revision>
  <cp:lastPrinted>2023-10-19T08:13:00Z</cp:lastPrinted>
  <dcterms:created xsi:type="dcterms:W3CDTF">2022-01-13T10:10:00Z</dcterms:created>
  <dcterms:modified xsi:type="dcterms:W3CDTF">2024-03-20T19:56:00Z</dcterms:modified>
</cp:coreProperties>
</file>